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2EC152" w14:textId="1E512C56" w:rsidR="00CA7AD5" w:rsidRPr="00A7436F" w:rsidRDefault="00A7436F" w:rsidP="00A7436F">
      <w:pPr>
        <w:rPr>
          <w:rFonts w:ascii="Arial" w:hAnsi="Arial" w:cs="Arial"/>
        </w:rPr>
      </w:pPr>
      <w:bookmarkStart w:id="0" w:name="_GoBack"/>
      <w:bookmarkEnd w:id="0"/>
      <w:r>
        <w:rPr>
          <w:rFonts w:ascii="Arial" w:hAnsi="Arial" w:cs="Arial"/>
        </w:rPr>
        <w:tab/>
      </w:r>
      <w:r w:rsidR="00CA7AD5" w:rsidRPr="00A7436F">
        <w:rPr>
          <w:rFonts w:ascii="Arial" w:hAnsi="Arial" w:cs="Arial"/>
        </w:rPr>
        <w:t>BOSNA I HERCEGOVINA</w:t>
      </w:r>
    </w:p>
    <w:p w14:paraId="7DBB3AB5" w14:textId="5E3E76E6" w:rsidR="00CA7AD5" w:rsidRPr="00A7436F" w:rsidRDefault="00CA7AD5" w:rsidP="00A7436F">
      <w:pPr>
        <w:rPr>
          <w:rFonts w:ascii="Arial" w:hAnsi="Arial" w:cs="Arial"/>
        </w:rPr>
      </w:pPr>
      <w:r w:rsidRPr="00A7436F">
        <w:rPr>
          <w:rFonts w:ascii="Arial" w:hAnsi="Arial" w:cs="Arial"/>
        </w:rPr>
        <w:t>FEDERACIJA BOSNE I HERCEGOVINE</w:t>
      </w:r>
    </w:p>
    <w:p w14:paraId="21F57B00" w14:textId="29C2F41E" w:rsidR="00CA7AD5" w:rsidRPr="00A7436F" w:rsidRDefault="00A7436F" w:rsidP="00A7436F">
      <w:pPr>
        <w:rPr>
          <w:rFonts w:ascii="Arial" w:hAnsi="Arial" w:cs="Arial"/>
          <w:b/>
        </w:rPr>
      </w:pPr>
      <w:r>
        <w:rPr>
          <w:rFonts w:ascii="Arial" w:hAnsi="Arial" w:cs="Arial"/>
          <w:b/>
        </w:rPr>
        <w:tab/>
        <w:t xml:space="preserve">       </w:t>
      </w:r>
      <w:r w:rsidR="00CA7AD5" w:rsidRPr="00A7436F">
        <w:rPr>
          <w:rFonts w:ascii="Arial" w:hAnsi="Arial" w:cs="Arial"/>
          <w:b/>
        </w:rPr>
        <w:t xml:space="preserve">VRHOVNI SUD </w:t>
      </w:r>
      <w:r w:rsidR="00CA7AD5" w:rsidRPr="00A7436F">
        <w:rPr>
          <w:rFonts w:ascii="Arial" w:hAnsi="Arial" w:cs="Arial"/>
          <w:b/>
        </w:rPr>
        <w:tab/>
      </w:r>
      <w:r w:rsidR="00CA7AD5" w:rsidRPr="00A7436F">
        <w:rPr>
          <w:rFonts w:ascii="Arial" w:hAnsi="Arial" w:cs="Arial"/>
          <w:b/>
        </w:rPr>
        <w:tab/>
      </w:r>
      <w:r w:rsidR="00CA7AD5" w:rsidRPr="00A7436F">
        <w:rPr>
          <w:rFonts w:ascii="Arial" w:hAnsi="Arial" w:cs="Arial"/>
          <w:b/>
        </w:rPr>
        <w:tab/>
      </w:r>
      <w:r w:rsidR="00CA7AD5" w:rsidRPr="00A7436F">
        <w:rPr>
          <w:rFonts w:ascii="Arial" w:hAnsi="Arial" w:cs="Arial"/>
          <w:b/>
        </w:rPr>
        <w:tab/>
        <w:t xml:space="preserve">                    </w:t>
      </w:r>
    </w:p>
    <w:p w14:paraId="7C78CCE0" w14:textId="6C26BDBF" w:rsidR="00CA7AD5" w:rsidRPr="00A7436F" w:rsidRDefault="00CA7AD5" w:rsidP="00A7436F">
      <w:pPr>
        <w:rPr>
          <w:rFonts w:ascii="Arial" w:hAnsi="Arial" w:cs="Arial"/>
        </w:rPr>
      </w:pPr>
      <w:r w:rsidRPr="00A7436F">
        <w:rPr>
          <w:rFonts w:ascii="Arial" w:hAnsi="Arial" w:cs="Arial"/>
          <w:b/>
        </w:rPr>
        <w:t>FEDERACIJE BOSNE I HERCEGOVINE</w:t>
      </w:r>
      <w:r w:rsidRPr="00A7436F">
        <w:rPr>
          <w:rFonts w:ascii="Arial" w:hAnsi="Arial" w:cs="Arial"/>
          <w:b/>
        </w:rPr>
        <w:tab/>
      </w:r>
      <w:r w:rsidRPr="00A7436F">
        <w:rPr>
          <w:rFonts w:ascii="Arial" w:hAnsi="Arial" w:cs="Arial"/>
          <w:b/>
        </w:rPr>
        <w:tab/>
      </w:r>
    </w:p>
    <w:p w14:paraId="4158B0A6" w14:textId="10DB3AB6" w:rsidR="00CA7AD5" w:rsidRPr="00A7436F" w:rsidRDefault="00A7436F" w:rsidP="00A7436F">
      <w:pPr>
        <w:rPr>
          <w:rFonts w:ascii="Arial" w:hAnsi="Arial" w:cs="Arial"/>
        </w:rPr>
      </w:pPr>
      <w:r>
        <w:rPr>
          <w:rFonts w:ascii="Arial" w:hAnsi="Arial" w:cs="Arial"/>
        </w:rPr>
        <w:tab/>
      </w:r>
      <w:r w:rsidR="00CA7AD5" w:rsidRPr="00A7436F">
        <w:rPr>
          <w:rFonts w:ascii="Arial" w:hAnsi="Arial" w:cs="Arial"/>
        </w:rPr>
        <w:t xml:space="preserve">Broj:  </w:t>
      </w:r>
      <w:bookmarkStart w:id="1" w:name="_Hlk36759769"/>
      <w:r w:rsidR="00CA7AD5" w:rsidRPr="00A7436F">
        <w:rPr>
          <w:rFonts w:ascii="Arial" w:hAnsi="Arial" w:cs="Arial"/>
        </w:rPr>
        <w:t>0</w:t>
      </w:r>
      <w:r w:rsidR="000B2355" w:rsidRPr="00A7436F">
        <w:rPr>
          <w:rFonts w:ascii="Arial" w:hAnsi="Arial" w:cs="Arial"/>
        </w:rPr>
        <w:t>1</w:t>
      </w:r>
      <w:r w:rsidR="00CA7AD5" w:rsidRPr="00A7436F">
        <w:rPr>
          <w:rFonts w:ascii="Arial" w:hAnsi="Arial" w:cs="Arial"/>
        </w:rPr>
        <w:t xml:space="preserve"> 0 U 0</w:t>
      </w:r>
      <w:r w:rsidR="000B2355" w:rsidRPr="00A7436F">
        <w:rPr>
          <w:rFonts w:ascii="Arial" w:hAnsi="Arial" w:cs="Arial"/>
        </w:rPr>
        <w:t>1</w:t>
      </w:r>
      <w:r w:rsidR="006A34DF" w:rsidRPr="00A7436F">
        <w:rPr>
          <w:rFonts w:ascii="Arial" w:hAnsi="Arial" w:cs="Arial"/>
        </w:rPr>
        <w:t>6086</w:t>
      </w:r>
      <w:r w:rsidR="00CA7AD5" w:rsidRPr="00A7436F">
        <w:rPr>
          <w:rFonts w:ascii="Arial" w:hAnsi="Arial" w:cs="Arial"/>
        </w:rPr>
        <w:t xml:space="preserve"> </w:t>
      </w:r>
      <w:r w:rsidR="000B2355" w:rsidRPr="00A7436F">
        <w:rPr>
          <w:rFonts w:ascii="Arial" w:hAnsi="Arial" w:cs="Arial"/>
        </w:rPr>
        <w:t>2</w:t>
      </w:r>
      <w:r w:rsidR="006A34DF" w:rsidRPr="00A7436F">
        <w:rPr>
          <w:rFonts w:ascii="Arial" w:hAnsi="Arial" w:cs="Arial"/>
        </w:rPr>
        <w:t>1</w:t>
      </w:r>
      <w:bookmarkEnd w:id="1"/>
      <w:r w:rsidR="00B460CC" w:rsidRPr="00A7436F">
        <w:rPr>
          <w:rFonts w:ascii="Arial" w:hAnsi="Arial" w:cs="Arial"/>
        </w:rPr>
        <w:t xml:space="preserve"> </w:t>
      </w:r>
      <w:r w:rsidR="00CA7AD5" w:rsidRPr="00A7436F">
        <w:rPr>
          <w:rFonts w:ascii="Arial" w:hAnsi="Arial" w:cs="Arial"/>
        </w:rPr>
        <w:t>Uvp</w:t>
      </w:r>
      <w:r w:rsidR="008C6BCB" w:rsidRPr="00A7436F">
        <w:rPr>
          <w:rFonts w:ascii="Arial" w:hAnsi="Arial" w:cs="Arial"/>
        </w:rPr>
        <w:t xml:space="preserve"> </w:t>
      </w:r>
      <w:r w:rsidR="006A34DF" w:rsidRPr="00A7436F">
        <w:rPr>
          <w:rFonts w:ascii="Arial" w:hAnsi="Arial" w:cs="Arial"/>
        </w:rPr>
        <w:t>2</w:t>
      </w:r>
      <w:r w:rsidR="00CA7AD5" w:rsidRPr="00A7436F">
        <w:rPr>
          <w:rFonts w:ascii="Arial" w:hAnsi="Arial" w:cs="Arial"/>
        </w:rPr>
        <w:t xml:space="preserve">             </w:t>
      </w:r>
      <w:r w:rsidR="008C6BCB" w:rsidRPr="00A7436F">
        <w:rPr>
          <w:rFonts w:ascii="Arial" w:hAnsi="Arial" w:cs="Arial"/>
        </w:rPr>
        <w:t xml:space="preserve">    </w:t>
      </w:r>
    </w:p>
    <w:p w14:paraId="6D4DC914" w14:textId="44E759C9" w:rsidR="00CA7AD5" w:rsidRPr="00A7436F" w:rsidRDefault="00A7436F" w:rsidP="00A7436F">
      <w:pPr>
        <w:rPr>
          <w:rFonts w:ascii="Arial" w:hAnsi="Arial" w:cs="Arial"/>
        </w:rPr>
      </w:pPr>
      <w:r>
        <w:rPr>
          <w:rFonts w:ascii="Arial" w:hAnsi="Arial" w:cs="Arial"/>
        </w:rPr>
        <w:tab/>
      </w:r>
      <w:r w:rsidR="00CA7AD5" w:rsidRPr="00A7436F">
        <w:rPr>
          <w:rFonts w:ascii="Arial" w:hAnsi="Arial" w:cs="Arial"/>
        </w:rPr>
        <w:t xml:space="preserve">Sarajevo, </w:t>
      </w:r>
      <w:r w:rsidR="00EA330D" w:rsidRPr="00A7436F">
        <w:rPr>
          <w:rFonts w:ascii="Arial" w:hAnsi="Arial" w:cs="Arial"/>
        </w:rPr>
        <w:t>0</w:t>
      </w:r>
      <w:r w:rsidR="006A34DF" w:rsidRPr="00A7436F">
        <w:rPr>
          <w:rFonts w:ascii="Arial" w:hAnsi="Arial" w:cs="Arial"/>
        </w:rPr>
        <w:t>3</w:t>
      </w:r>
      <w:r w:rsidR="00EA330D" w:rsidRPr="00A7436F">
        <w:rPr>
          <w:rFonts w:ascii="Arial" w:hAnsi="Arial" w:cs="Arial"/>
        </w:rPr>
        <w:t>.0</w:t>
      </w:r>
      <w:r w:rsidR="006A34DF" w:rsidRPr="00A7436F">
        <w:rPr>
          <w:rFonts w:ascii="Arial" w:hAnsi="Arial" w:cs="Arial"/>
        </w:rPr>
        <w:t>3</w:t>
      </w:r>
      <w:r w:rsidR="00EA330D" w:rsidRPr="00A7436F">
        <w:rPr>
          <w:rFonts w:ascii="Arial" w:hAnsi="Arial" w:cs="Arial"/>
        </w:rPr>
        <w:t xml:space="preserve">.2023. </w:t>
      </w:r>
      <w:r w:rsidR="00CA7AD5" w:rsidRPr="00A7436F">
        <w:rPr>
          <w:rFonts w:ascii="Arial" w:hAnsi="Arial" w:cs="Arial"/>
        </w:rPr>
        <w:t>godine</w:t>
      </w:r>
      <w:r w:rsidR="00CA7AD5" w:rsidRPr="00A7436F">
        <w:rPr>
          <w:rFonts w:ascii="Arial" w:hAnsi="Arial" w:cs="Arial"/>
        </w:rPr>
        <w:tab/>
      </w:r>
      <w:r w:rsidR="00CA7AD5" w:rsidRPr="00A7436F">
        <w:rPr>
          <w:rFonts w:ascii="Arial" w:hAnsi="Arial" w:cs="Arial"/>
        </w:rPr>
        <w:tab/>
        <w:t xml:space="preserve">                       </w:t>
      </w:r>
    </w:p>
    <w:p w14:paraId="6FAC5982" w14:textId="41F2C424" w:rsidR="00A7436F" w:rsidRPr="00A7436F" w:rsidRDefault="00A7436F" w:rsidP="00A7436F">
      <w:pPr>
        <w:rPr>
          <w:rFonts w:ascii="Arial" w:hAnsi="Arial" w:cs="Arial"/>
        </w:rPr>
      </w:pPr>
    </w:p>
    <w:p w14:paraId="2A33B544" w14:textId="77777777" w:rsidR="00865990" w:rsidRPr="00A7436F" w:rsidRDefault="00865990" w:rsidP="00A7436F">
      <w:pPr>
        <w:rPr>
          <w:rFonts w:ascii="Arial" w:hAnsi="Arial" w:cs="Arial"/>
        </w:rPr>
      </w:pPr>
      <w:r w:rsidRPr="00A7436F">
        <w:rPr>
          <w:rFonts w:ascii="Arial" w:hAnsi="Arial" w:cs="Arial"/>
        </w:rPr>
        <w:tab/>
      </w:r>
    </w:p>
    <w:p w14:paraId="366D59BB" w14:textId="77777777" w:rsidR="00865990" w:rsidRPr="00A7436F" w:rsidRDefault="00865990" w:rsidP="00A7436F">
      <w:pPr>
        <w:rPr>
          <w:rFonts w:ascii="Arial" w:hAnsi="Arial" w:cs="Arial"/>
        </w:rPr>
      </w:pPr>
    </w:p>
    <w:p w14:paraId="530E607C" w14:textId="29C611BF" w:rsidR="006A34DF" w:rsidRPr="00A7436F" w:rsidRDefault="00865990" w:rsidP="00A7436F">
      <w:pPr>
        <w:jc w:val="both"/>
        <w:rPr>
          <w:rFonts w:ascii="Arial" w:hAnsi="Arial" w:cs="Arial"/>
        </w:rPr>
      </w:pPr>
      <w:r w:rsidRPr="00A7436F">
        <w:rPr>
          <w:rFonts w:ascii="Arial" w:hAnsi="Arial" w:cs="Arial"/>
        </w:rPr>
        <w:tab/>
        <w:t xml:space="preserve">Vrhovni sud Federacije Bosne i Hercegovine u Sarajevu, u vijeću za upravne sporove sastavljenom od sudija Ajanović-Selimović Amele, kao predsjednika vijeća, Babić Stanković Aleksandre i </w:t>
      </w:r>
      <w:r w:rsidR="006A34DF" w:rsidRPr="00A7436F">
        <w:rPr>
          <w:rFonts w:ascii="Arial" w:hAnsi="Arial" w:cs="Arial"/>
        </w:rPr>
        <w:t>Džafić Zlate</w:t>
      </w:r>
      <w:r w:rsidRPr="00A7436F">
        <w:rPr>
          <w:rFonts w:ascii="Arial" w:hAnsi="Arial" w:cs="Arial"/>
        </w:rPr>
        <w:t>, kao članova vijeća, te</w:t>
      </w:r>
      <w:r w:rsidR="00A7436F" w:rsidRPr="00A7436F">
        <w:rPr>
          <w:rFonts w:ascii="Arial" w:hAnsi="Arial" w:cs="Arial"/>
        </w:rPr>
        <w:t xml:space="preserve"> Hodžić Merhunise</w:t>
      </w:r>
      <w:r w:rsidRPr="00A7436F">
        <w:rPr>
          <w:rFonts w:ascii="Arial" w:hAnsi="Arial" w:cs="Arial"/>
        </w:rPr>
        <w:t xml:space="preserve"> kao zapisničara, u upravnom sporu tužitelj</w:t>
      </w:r>
      <w:r w:rsidR="006A34DF" w:rsidRPr="00A7436F">
        <w:rPr>
          <w:rFonts w:ascii="Arial" w:hAnsi="Arial" w:cs="Arial"/>
        </w:rPr>
        <w:t>a „BH PLAY“ d.o.o. Visoko, zastupanog po punomoćnicima Iličić-Lukenda Sanji i Božić Luki, odvjetnicima iz Čitluka, protiv akta broj: 01/GV-11-92/2020 od 27.05.2020. godine, tuženog Grad Cazin Gradsko vijeće Komisija za žalbe, predstavke i pritužbe Općinskog vijeća, u upravnoj stvari razreza komunalne takse za korištenje uređaja za priređivanje igara klađenja na sportske rezultate i druge neizvjesne događaje za 2019. godinu, odlučujući o zahtjevu tužitelja za vanredno preispitivanje sudske odluke, podnesenom protiv presude Kantonalnog suda u Bihaću, broj: 01 0 U 016086 20 U od 06.04.2021. godine, na nejavnoj sjednici održanoj dana 03.03.2023. godine,</w:t>
      </w:r>
      <w:r w:rsidR="00A7436F">
        <w:rPr>
          <w:rFonts w:ascii="Arial" w:hAnsi="Arial" w:cs="Arial"/>
        </w:rPr>
        <w:t xml:space="preserve"> donio je: </w:t>
      </w:r>
    </w:p>
    <w:p w14:paraId="770BFA23" w14:textId="70F4B18B" w:rsidR="00CA7AD5" w:rsidRPr="00A7436F" w:rsidRDefault="00CA7AD5" w:rsidP="00A7436F">
      <w:pPr>
        <w:jc w:val="center"/>
        <w:rPr>
          <w:rFonts w:ascii="Arial" w:hAnsi="Arial" w:cs="Arial"/>
        </w:rPr>
      </w:pPr>
    </w:p>
    <w:p w14:paraId="21881052" w14:textId="77777777" w:rsidR="00CA7AD5" w:rsidRPr="00A7436F" w:rsidRDefault="00CA7AD5" w:rsidP="00A7436F">
      <w:pPr>
        <w:jc w:val="center"/>
        <w:rPr>
          <w:rFonts w:ascii="Arial" w:hAnsi="Arial" w:cs="Arial"/>
        </w:rPr>
      </w:pPr>
    </w:p>
    <w:p w14:paraId="7BE6DA26" w14:textId="77777777" w:rsidR="00CA7AD5" w:rsidRPr="00A7436F" w:rsidRDefault="00CA7AD5" w:rsidP="00A7436F">
      <w:pPr>
        <w:jc w:val="center"/>
        <w:rPr>
          <w:rFonts w:ascii="Arial" w:hAnsi="Arial" w:cs="Arial"/>
          <w:b/>
        </w:rPr>
      </w:pPr>
      <w:r w:rsidRPr="00A7436F">
        <w:rPr>
          <w:rFonts w:ascii="Arial" w:hAnsi="Arial" w:cs="Arial"/>
          <w:b/>
        </w:rPr>
        <w:t>P  R  E  S  U  D  U</w:t>
      </w:r>
    </w:p>
    <w:p w14:paraId="624BE521" w14:textId="77777777" w:rsidR="00CA7AD5" w:rsidRPr="00A7436F" w:rsidRDefault="00CA7AD5" w:rsidP="00A7436F">
      <w:pPr>
        <w:rPr>
          <w:rFonts w:ascii="Arial" w:hAnsi="Arial" w:cs="Arial"/>
        </w:rPr>
      </w:pPr>
    </w:p>
    <w:p w14:paraId="1F75C677" w14:textId="62BB3614" w:rsidR="00CA7AD5" w:rsidRPr="00A7436F" w:rsidRDefault="00CA7AD5" w:rsidP="00A7436F">
      <w:pPr>
        <w:rPr>
          <w:rFonts w:ascii="Arial" w:hAnsi="Arial" w:cs="Arial"/>
          <w:noProof/>
        </w:rPr>
      </w:pPr>
    </w:p>
    <w:p w14:paraId="044B8146" w14:textId="141EAA21" w:rsidR="00CA7AD5" w:rsidRPr="00A7436F" w:rsidRDefault="00CA7AD5" w:rsidP="00A7436F">
      <w:pPr>
        <w:tabs>
          <w:tab w:val="left" w:pos="905"/>
          <w:tab w:val="center" w:pos="4320"/>
        </w:tabs>
        <w:jc w:val="center"/>
        <w:rPr>
          <w:rFonts w:ascii="Arial" w:hAnsi="Arial" w:cs="Arial"/>
        </w:rPr>
      </w:pPr>
      <w:r w:rsidRPr="00A7436F">
        <w:rPr>
          <w:rFonts w:ascii="Arial" w:hAnsi="Arial" w:cs="Arial"/>
          <w:noProof/>
        </w:rPr>
        <w:t xml:space="preserve">Zahtjev za vanredno preispitivanje sudske odluke se </w:t>
      </w:r>
      <w:r w:rsidR="00A54845" w:rsidRPr="00A7436F">
        <w:rPr>
          <w:rFonts w:ascii="Arial" w:hAnsi="Arial" w:cs="Arial"/>
          <w:noProof/>
        </w:rPr>
        <w:t>odb</w:t>
      </w:r>
      <w:r w:rsidR="00B4091D" w:rsidRPr="00A7436F">
        <w:rPr>
          <w:rFonts w:ascii="Arial" w:hAnsi="Arial" w:cs="Arial"/>
          <w:noProof/>
        </w:rPr>
        <w:t>i</w:t>
      </w:r>
      <w:r w:rsidR="00A54845" w:rsidRPr="00A7436F">
        <w:rPr>
          <w:rFonts w:ascii="Arial" w:hAnsi="Arial" w:cs="Arial"/>
          <w:noProof/>
        </w:rPr>
        <w:t>j</w:t>
      </w:r>
      <w:r w:rsidR="00B4091D" w:rsidRPr="00A7436F">
        <w:rPr>
          <w:rFonts w:ascii="Arial" w:hAnsi="Arial" w:cs="Arial"/>
          <w:noProof/>
        </w:rPr>
        <w:t>a</w:t>
      </w:r>
      <w:r w:rsidRPr="00A7436F">
        <w:rPr>
          <w:rFonts w:ascii="Arial" w:hAnsi="Arial" w:cs="Arial"/>
        </w:rPr>
        <w:t>.</w:t>
      </w:r>
    </w:p>
    <w:p w14:paraId="5FAB1D30" w14:textId="77777777" w:rsidR="00CA7AD5" w:rsidRPr="00A7436F" w:rsidRDefault="00CA7AD5" w:rsidP="00A7436F">
      <w:pPr>
        <w:tabs>
          <w:tab w:val="left" w:pos="905"/>
          <w:tab w:val="center" w:pos="4320"/>
        </w:tabs>
        <w:jc w:val="center"/>
        <w:rPr>
          <w:rFonts w:ascii="Arial" w:hAnsi="Arial" w:cs="Arial"/>
        </w:rPr>
      </w:pPr>
    </w:p>
    <w:p w14:paraId="428BB492" w14:textId="77777777" w:rsidR="00CA7AD5" w:rsidRPr="00A7436F" w:rsidRDefault="00CA7AD5" w:rsidP="00A7436F">
      <w:pPr>
        <w:tabs>
          <w:tab w:val="left" w:pos="905"/>
          <w:tab w:val="center" w:pos="4320"/>
        </w:tabs>
        <w:jc w:val="both"/>
        <w:rPr>
          <w:rFonts w:ascii="Arial" w:hAnsi="Arial" w:cs="Arial"/>
        </w:rPr>
      </w:pPr>
    </w:p>
    <w:p w14:paraId="3BF7D131" w14:textId="77777777" w:rsidR="00A7436F" w:rsidRPr="00A7436F" w:rsidRDefault="00A7436F" w:rsidP="00A7436F">
      <w:pPr>
        <w:jc w:val="center"/>
        <w:rPr>
          <w:rFonts w:ascii="Arial" w:eastAsiaTheme="minorHAnsi" w:hAnsi="Arial" w:cs="Arial"/>
          <w:b/>
          <w:lang w:eastAsia="en-US"/>
        </w:rPr>
      </w:pPr>
      <w:r w:rsidRPr="00A7436F">
        <w:rPr>
          <w:rFonts w:ascii="Arial" w:eastAsiaTheme="minorHAnsi" w:hAnsi="Arial" w:cs="Arial"/>
          <w:b/>
          <w:lang w:eastAsia="en-US"/>
        </w:rPr>
        <w:t>O b r a z l o ž e n j e</w:t>
      </w:r>
    </w:p>
    <w:p w14:paraId="2D212A08" w14:textId="7DA9580C" w:rsidR="00A7436F" w:rsidRDefault="00A7436F" w:rsidP="00A7436F">
      <w:pPr>
        <w:jc w:val="both"/>
        <w:rPr>
          <w:rFonts w:ascii="Arial" w:eastAsiaTheme="minorHAnsi" w:hAnsi="Arial" w:cs="Arial"/>
          <w:lang w:eastAsia="en-US"/>
        </w:rPr>
      </w:pPr>
    </w:p>
    <w:p w14:paraId="64A3C41C" w14:textId="77777777" w:rsidR="00A7436F" w:rsidRPr="00A7436F" w:rsidRDefault="00A7436F" w:rsidP="00A7436F">
      <w:pPr>
        <w:jc w:val="both"/>
        <w:rPr>
          <w:rFonts w:ascii="Arial" w:eastAsiaTheme="minorHAnsi" w:hAnsi="Arial" w:cs="Arial"/>
          <w:lang w:eastAsia="en-US"/>
        </w:rPr>
      </w:pPr>
    </w:p>
    <w:p w14:paraId="6C563797"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t>Presudom Kantonalnog suda u Bihaću, broj: 01 0 U 016086 20 U od 06.04.2021. godine, odbijena je. kao neosnovana, tužiteljeva tužba podnesena protiv osporenog rješenja tuženog, broj: 01/GV-11-92/2020 od 27.05.2020. godine, kojim je, kao neosnovana, odbijena njegova žalba izjavljena protiv prvostepenog rješenja Službe za urbanizam i zaštitu okoliša Grada Cazin, broj: 04-14-4977/19 od 18.12.2019. godine. Tim prvostepenim rješenjem tužitelju je, kao taksenom obavezniku, utvrđena visina komunalne takse za 2019. godinu za priređivanje igara klađenja na sportske rezultate i druge neizvjesne događaje za uplatno mjesto Cazin broj 9, Glogovac u iznosu od =6.600,00 KM.</w:t>
      </w:r>
    </w:p>
    <w:p w14:paraId="429F8F05" w14:textId="77777777" w:rsidR="00A7436F" w:rsidRPr="00A7436F" w:rsidRDefault="00A7436F" w:rsidP="00A7436F">
      <w:pPr>
        <w:jc w:val="both"/>
        <w:rPr>
          <w:rFonts w:ascii="Arial" w:eastAsiaTheme="minorHAnsi" w:hAnsi="Arial" w:cs="Arial"/>
          <w:lang w:eastAsia="en-US"/>
        </w:rPr>
      </w:pPr>
    </w:p>
    <w:p w14:paraId="7E3E93B2" w14:textId="4BC7930D"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t xml:space="preserve">Protiv navedene presude tužitelj je, po punomoćniku, blagovremeno podnio zahtjev za vanredno preispitivanje sudske odluke zbog povrede pravila postupka i pogrešne primjene materijalnog prava, navodeći da općinski/gradski organi uopšte nisu nadležni za razrez i naplatu predmetne takse; da su pobijana presuda, kao i upravni akti nadležnih organa, zasnovani na nepravilnoj primjeni Odluke o komunalnim taksama Općine Cazin sa pripadajućom Tarifom obzirom da je konkretna upravna oblast regulisana federalnim Zakonom o igrama na sreću, kojim su predmetne naknade utvrđene kao isključivi prihod Federacije BiH, te da je Federalno ministarstvo </w:t>
      </w:r>
      <w:r w:rsidRPr="00A7436F">
        <w:rPr>
          <w:rFonts w:ascii="Arial" w:eastAsiaTheme="minorHAnsi" w:hAnsi="Arial" w:cs="Arial"/>
          <w:lang w:eastAsia="en-US"/>
        </w:rPr>
        <w:lastRenderedPageBreak/>
        <w:t>finansija, kao organ koji je tužitelju izdao odobrenje za priređivanje igara na sreću, isključivo nadležno da vrši nadzor i eventualno utvrđuje naknade za priređivanje igara na sreću, a što proizilazi i iz odredbi člana 3. Zakona o Poreznoj upravi F BiH i odredbi Zakona o pripadnosti javnih prihoda u Federaciji BiH i finansiranju Federacije BiH, kojim je propisano da općinama pripadaju javni prihodi samo u skladu sa kantonalnim propisima, a u prilog navedenom priložen je akt Federalnog ministarstva finansija broj: 05-14-2-8106/15 od 16.12.2015. godine. Nadalje je istaknuto da je pre</w:t>
      </w:r>
      <w:r w:rsidR="00830655">
        <w:rPr>
          <w:rFonts w:ascii="Arial" w:eastAsiaTheme="minorHAnsi" w:hAnsi="Arial" w:cs="Arial"/>
          <w:lang w:eastAsia="en-US"/>
        </w:rPr>
        <w:t>d</w:t>
      </w:r>
      <w:r w:rsidRPr="00A7436F">
        <w:rPr>
          <w:rFonts w:ascii="Arial" w:eastAsiaTheme="minorHAnsi" w:hAnsi="Arial" w:cs="Arial"/>
          <w:lang w:eastAsia="en-US"/>
        </w:rPr>
        <w:t>metna Odluka o komunalnim taksama i Tarifa komunalnih taksi u suprotnosti sa višim aktima, kantonalnim propisima, te nije u skladu sa Ustavom Federacije BiH u vezi sa Amandmanom VIII D) na Ustav Federacije BiH, da niti jedna općina, niti grad, pa ni općina Cazin nije nadležna da naplaćuje takse za priređivanje igara na sreću, te ukazao i na više ranije donesenih presuda istog prvostepenog suda. Zbog svega izloženog konačno je predložio da se zahtjev za vanredno preispitivanje uvaži i preinači pobijana presuda tako da se tužba uvaži, te poništi osporeno i prvostepeno rješenje uz naknadu troškova postupka.</w:t>
      </w:r>
    </w:p>
    <w:p w14:paraId="41B50E8C" w14:textId="77777777" w:rsidR="00A7436F" w:rsidRPr="00A7436F" w:rsidRDefault="00A7436F" w:rsidP="00A7436F">
      <w:pPr>
        <w:jc w:val="both"/>
        <w:rPr>
          <w:rFonts w:ascii="Arial" w:eastAsiaTheme="minorHAnsi" w:hAnsi="Arial" w:cs="Arial"/>
          <w:lang w:eastAsia="en-US"/>
        </w:rPr>
      </w:pPr>
    </w:p>
    <w:p w14:paraId="59FBE680"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t xml:space="preserve">Tuženi je u odgovoru na zahtjev tužitelja za vanredno preispitivanje sudske odluke osporio navode zahtjeva za vanredno preispitivanje i predložio da se isti odbije kao neosnovan. </w:t>
      </w:r>
    </w:p>
    <w:p w14:paraId="2FC6ADF1" w14:textId="77777777" w:rsidR="00A7436F" w:rsidRPr="00A7436F" w:rsidRDefault="00A7436F" w:rsidP="00A7436F">
      <w:pPr>
        <w:jc w:val="both"/>
        <w:rPr>
          <w:rFonts w:ascii="Arial" w:eastAsiaTheme="minorHAnsi" w:hAnsi="Arial" w:cs="Arial"/>
          <w:lang w:eastAsia="en-US"/>
        </w:rPr>
      </w:pPr>
    </w:p>
    <w:p w14:paraId="740BD089"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t>Ovaj Sud je na osnovu člana 45. Zakona o upravnim sporovima ("Službene novine Federacije Bosne i Hercegovine", broj: 9/05) ispitao zakonitost pobijane presude u granicama zahtjeva i povreda propisa iz člana 41. stav 2. tog Zakona, pa je odlučio kao u izreci presude iz slijedećih razloga :</w:t>
      </w:r>
    </w:p>
    <w:p w14:paraId="044C1DBF" w14:textId="77777777" w:rsidR="00A7436F" w:rsidRPr="00A7436F" w:rsidRDefault="00A7436F" w:rsidP="00A7436F">
      <w:pPr>
        <w:jc w:val="both"/>
        <w:rPr>
          <w:rFonts w:ascii="Arial" w:eastAsiaTheme="minorHAnsi" w:hAnsi="Arial" w:cs="Arial"/>
          <w:lang w:eastAsia="en-US"/>
        </w:rPr>
      </w:pPr>
    </w:p>
    <w:p w14:paraId="771DD32B"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t>Prema podacima iz spisa predmeta, kao i obrazloženju pobijane presude, proizilazi da je prvostepeni organ rješenjem od 18.12.2019. godine, postupajući po službenoj dužnosti, tužitelja obavezao na plaćanje komunalne takse za priređivanje igara klađenja na sportske rezultate i druge neizvjesne događaje za 2019. godinu u iznosu od =6.600,00 KM za uplatno mjesto Cazin broj 9, Glogovac. Ovakva odluka je donesena na osnovu zapisnika prvostepenog organa o izvršenom inspekcijskom pregledu od 06.12.2019. godine, na osnovu kojeg je utvrđeno da tužitelj u skladu sa članom 3. tačka 6. 5b. Odluke o komunalnim taksama i Tarifom komunalnih taksa Općine Cazin („Službene novine Općine Cazin“, broj:1/15 - prečišćeni tekst) priređuje igre klađenja na sportske rezultate i druge neizvjesne događaje u predmetnoj kladionici koja se nalazi u II (drugoj) zoni, pa je visina takse utvrđena na osnovu člana 21. Tarifa broj 5. tačka b) Tarife komunalnih taksa. Tužitelj je protiv ovog prvostepenog rješenja izjavio žalbu, koja je odbijena osporenim rješenjem tuženog organa od 27.05.2020. godine. Odlučujući o tužbi, kojom je tužitelj pokrenuo upravni spor protiv tog rješenja tuženog, prvostepeni sud je tužbu odbio, cijeneći pravilnim i zakonitim pravne i činjenične zaključke tuženog organa.</w:t>
      </w:r>
    </w:p>
    <w:p w14:paraId="4E3B0DF5"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 xml:space="preserve">     </w:t>
      </w:r>
    </w:p>
    <w:p w14:paraId="4A935B3A"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t xml:space="preserve">Donošenjem pobijane presude prvostepeni sud nije povrijedio federalni zakon ili drugi federalni propis, niti pravila federalnog zakona o postupku koja su mogla biti od uticaja na rješenje stvari, zbog čega se zahtjev tužitelja za vanredno preispitivanje sudske odluke ukazuje neosnovanim. </w:t>
      </w:r>
    </w:p>
    <w:p w14:paraId="121F9724" w14:textId="77777777" w:rsidR="00A7436F" w:rsidRPr="00A7436F" w:rsidRDefault="00A7436F" w:rsidP="00A7436F">
      <w:pPr>
        <w:jc w:val="both"/>
        <w:rPr>
          <w:rFonts w:ascii="Arial" w:eastAsiaTheme="minorHAnsi" w:hAnsi="Arial" w:cs="Arial"/>
          <w:lang w:eastAsia="en-US"/>
        </w:rPr>
      </w:pPr>
    </w:p>
    <w:p w14:paraId="60F5F61A"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t xml:space="preserve">Naime, kako je odredbama član 3. tačka 6. 5b. Odluke o komunalnim taksama i Tarifom komunalnih taksi Općine Cazin propisana obaveza plaćanja komunalne takse na priređivanje igara klađenja na sportske rezultate i druge neizvjesne događaje, to je </w:t>
      </w:r>
      <w:r w:rsidRPr="00A7436F">
        <w:rPr>
          <w:rFonts w:ascii="Arial" w:eastAsiaTheme="minorHAnsi" w:hAnsi="Arial" w:cs="Arial"/>
          <w:lang w:eastAsia="en-US"/>
        </w:rPr>
        <w:lastRenderedPageBreak/>
        <w:t xml:space="preserve">prvostepeni organ primjenom člana 21. Tarifa broj 5. tačka b. citirane Odluke pravilno obračunao iznos takse koju je tužitelj dužan platiti. </w:t>
      </w:r>
    </w:p>
    <w:p w14:paraId="56EF1BDC" w14:textId="77777777" w:rsidR="00A7436F" w:rsidRPr="00A7436F" w:rsidRDefault="00A7436F" w:rsidP="00A7436F">
      <w:pPr>
        <w:jc w:val="both"/>
        <w:rPr>
          <w:rFonts w:ascii="Arial" w:eastAsiaTheme="minorHAnsi" w:hAnsi="Arial" w:cs="Arial"/>
          <w:lang w:eastAsia="en-US"/>
        </w:rPr>
      </w:pPr>
    </w:p>
    <w:p w14:paraId="2E0CADA6"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t xml:space="preserve">Neosnovano tužitelj ističe da se navedena odredba člana 21. Tarifa broj 5. tačka b. Tarife komunalnih taksa Odluke o komunalnim taksama nije mogla primijeniti jer je neustavna. Saglasnost ove odredbe sa Ustavom Federacije BiH, naime, nije bila predmet ispitivanja od strane Ustavnog suda Federacije BiH. Suprotno navodima tužitelja istaknutim u zahtjevu za vanredno preispitivanje, upravni organi niti redovni sudovi u Federaciji BiH nisu nadležni za utvrđivanje da li je općinska odluka u saglasnosti sa Ustavom Federacije BiH. Odluka o komunalnim taksama i Tarifa komunalnih taksi Općine Cazin je na snazi, te su organi uprave pravilno postupili primijenivši je. Pri tome treba istaći da su tačni navodi da je predmetna Odluka o komunalnim taksama i Tarifa komunalnih taksi bila predmet ocjene ustavnosti više puta, te da je presudom Ustavnog suda Federacije Bosne i Hercegovine, broj: U-4/19 od 15.10.2019. godine („Službene novine Federacije BiH“, broj: 90/19) utvrđeno da član 21. Tarife broj 11. i 12. predmetne Odluke nisu u saglasnosti sa Ustavnom Federacije BiH. Međutim, iz navedene presude proizilazi da nisu ocijenjene neustavnim odredbe na osnovu kojih su donesena upravna rješenja i prvostepena presuda, odnosno odredbe člana 21. Tarifa broj 5. tačka b) navedene Odluke. </w:t>
      </w:r>
    </w:p>
    <w:p w14:paraId="376E9445"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r>
      <w:r w:rsidRPr="00A7436F">
        <w:rPr>
          <w:rFonts w:ascii="Arial" w:eastAsiaTheme="minorHAnsi" w:hAnsi="Arial" w:cs="Arial"/>
          <w:lang w:eastAsia="en-US"/>
        </w:rPr>
        <w:tab/>
      </w:r>
    </w:p>
    <w:p w14:paraId="283AE22D"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t xml:space="preserve">Bez osnova tužitelj u zahtjevu ukazuje i na akt Federalnog ministarstva finansija broj: 0514-2-8106/15 od 16.12.2015. godine, u kojem se izražava stav da se „naknade (takse) za priređivanje bilo koje vrste igara na sreću čije je priređivanje dozvoljeno zakonom, ne mogu svrstati u kategoriju komunalnih taksi koje se propisuju, razrezuju i naplaćuju kao prihod jedinica lokalne samouprave na osnovu odluka Općinskog odnosno Gradskog vijeća”. Federalno ministarstvo finansija, naime, nije ovlašteno da daje autentična tumačenja zakona, niti da cijeni zakonitost i ustavnost opštih akata nižih nivoa vlasti, pa ovaj akt nije relevantan za odlučivanje o ovoj upravno-sudskoj stvari. </w:t>
      </w:r>
    </w:p>
    <w:p w14:paraId="76039A48" w14:textId="77777777" w:rsidR="00A7436F" w:rsidRPr="00A7436F" w:rsidRDefault="00A7436F" w:rsidP="00A7436F">
      <w:pPr>
        <w:jc w:val="both"/>
        <w:rPr>
          <w:rFonts w:ascii="Arial" w:eastAsiaTheme="minorHAnsi" w:hAnsi="Arial" w:cs="Arial"/>
          <w:lang w:eastAsia="en-US"/>
        </w:rPr>
      </w:pPr>
    </w:p>
    <w:p w14:paraId="0342B65E"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t xml:space="preserve">Tužitelj pravilno ističe da su Zakonom o igrama na sreću („Službene novine Federacije BiH“, broj: 48/15 i 60/15) propisane naknade koje se plaćaju za priređivanje igara na sreću, te da te naknade predstavljaju prihod federalnog budžeta. Naime, Zakonom o igrama na sreću propisuju se posebni uslovi za obavljanje ove djelatnosti, kao specifične vrste usluge s potencijalnom društvenom opasnošću i visokim rizikom za razvoj ovisnosti, uslijed čega je potreban poseban nadzor poslovanja, kako bi se osiguralo društveno odgovorno poslovanje u ovoj oblasti. U tom smislu navedenim zakonom su utvrđene i posebne naknade za izdavanje odobrenja za rad za priređivanje kladioničkih igara na sreću, produženje takvog odobrenja, te otvaranje svakog novog uplatnog mjesta, koje se plaćaju jednokratno. Neosnovano se, međutim, u zahtjevu za vanredno preispitivanje ukazuje da se odredbama navedenog Zakona isključuje mogućnost da se drugim propisima utvrde takse koje će biti prihod drugih nivoa vlasti. Tužitelj pravilno navodi da su, prema odredbama Zakona o igrama na sreću, prihodi ostvareni po osnovu naknada za priređivanje igara na sreću prihod Federacije. U članu 3. stav 1. tačka 4. istog Zakona, međutim, definisano je da se pod naknadom za priređivanje podrazumijeva „naknada koju priređivači plaćaju na osnovu ovog Zakona“. Stoga, utvrđivanje drugim propisom obaveze plaćanja takse na priređivanje igara na sreću, kao prihoda jedinice lokalne samouprave, nije u suprotnosti sa odredbama Zakona o igrama na sreću. </w:t>
      </w:r>
    </w:p>
    <w:p w14:paraId="315AF184" w14:textId="77777777" w:rsidR="00A7436F" w:rsidRPr="00A7436F" w:rsidRDefault="00A7436F" w:rsidP="00A7436F">
      <w:pPr>
        <w:jc w:val="both"/>
        <w:rPr>
          <w:rFonts w:ascii="Arial" w:eastAsiaTheme="minorHAnsi" w:hAnsi="Arial" w:cs="Arial"/>
          <w:lang w:eastAsia="en-US"/>
        </w:rPr>
      </w:pPr>
    </w:p>
    <w:p w14:paraId="08F025BB"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lastRenderedPageBreak/>
        <w:tab/>
        <w:t xml:space="preserve">Neosnovan je, takođe, stav tužitelja da propisivanjem komunalne takse na priređivanje igara klađenja na sportske rezultate i druge neizvjesne događaje, koja se plaća mjesečno, po mjestu priređivanja, u zavisnosti od zone u kojoj se mjesto priređivanja igre nalazi, dolazi do dvostrukog oporezivanja priređivača igara na sreću. Ne radi se, naime, o istoj vrsti naknade, jer se naknade propisane federalnim zakonom naplaćuju na izdavanje odobrenja za bavljenje određenom djelatnošću - priređivanjem igara na sreću, dok su komunalne takse usmjerene na korištenje prostora na području općine za priređivanje kladioničkih igara. </w:t>
      </w:r>
    </w:p>
    <w:p w14:paraId="7FE43A11" w14:textId="77777777" w:rsidR="00A7436F" w:rsidRPr="00A7436F" w:rsidRDefault="00A7436F" w:rsidP="00A7436F">
      <w:pPr>
        <w:jc w:val="both"/>
        <w:rPr>
          <w:rFonts w:ascii="Arial" w:eastAsiaTheme="minorHAnsi" w:hAnsi="Arial" w:cs="Arial"/>
          <w:lang w:eastAsia="en-US"/>
        </w:rPr>
      </w:pPr>
    </w:p>
    <w:p w14:paraId="719494C9"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t>Komunalne takse su, naime, takse koje općinske ili gradske vlasti naplaćuju za korištenje određenih predmeta, prostora ili pružanje usluga na području te jedinice lokalne samouprave. Odredbom člana 13. Zakona o pripadnosti javnih prihoda u Federaciji Bosne i Hercegovine („Službene novine Federacije BiH“, broj: 22/06, 43/08 i 22/09) propisano je da jedinicama lokalne samouprave - općinama i gradovima, pored ostalog, pripadaju javni prihodi i to: naknade i takse u skladu sa propisima jedinica lokalne samouprave (član 13. stav 1. tačka c), drugi prihodi predviđeni zakonom i drugim propisima Federacije, kantona i jedinica lokalne samouprave (član 13. stav 1. tačka h), te da općinska vijeća donose propise kojima se uređuje visina naknada na temelju korištenja i uređenja zemljišta, kao i visina drugih naknada, novčanih kazni i taksi u njihovoj nadležnosti (član 13. stav 3.). Nadalje, Zakonom o principima lokalne samouprave u Federaciji BiH („Službene novine Federacije BiH“, broj: 49/06) propisano je da u zakonom propisanim okvirima, jedinice lokalne samouprave donose propise o naknadama i taksama, kao i provedbene propise o oporezivanju (član 36.), te da jedinicama lokalne samouprave pripadaju između ostalog lokalne takse i naknade čije iznose utvrđuje vijeće, u skladu sa zakonom (član 37.). Jedinice lokalne samouprave su, dakle, u skladu sa navedenim propisima i svojim politikama, ovlaštene odlučiti koje komunalne naknade propisuju, te su bez osnova prigovori tužitelja da je predmetna Odluka o komunalnim taksama protuzakonita.</w:t>
      </w:r>
    </w:p>
    <w:p w14:paraId="6C1CD189" w14:textId="77777777" w:rsidR="00A7436F" w:rsidRPr="00A7436F" w:rsidRDefault="00A7436F" w:rsidP="00A7436F">
      <w:pPr>
        <w:jc w:val="both"/>
        <w:rPr>
          <w:rFonts w:ascii="Arial" w:eastAsiaTheme="minorHAnsi" w:hAnsi="Arial" w:cs="Arial"/>
          <w:lang w:eastAsia="en-US"/>
        </w:rPr>
      </w:pPr>
    </w:p>
    <w:p w14:paraId="289F71FA"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t xml:space="preserve">Po ocjeni ovog Suda nisu relevantni prigovori koji se odnose na neujednačeno postupanje Kantonalnog suda u Bihaću u predmetima sa istovrsnim činjeničnim i pravnim osnovom, obzirom da ovaj Sud ni na koji način nije vezan presudama prvostepenog suda.  Pobijana presuda je donesena u skladu sa stavom koji je i Vrhovni sud Federacije BiH zauzeo u niz svojih odluka u predmetima razreza komunalne takse na igre na sreću, te u tom pogledu nema proizvoljne primjene materijalnog prava od strane prvostepenog suda.  </w:t>
      </w:r>
    </w:p>
    <w:p w14:paraId="07E44B61"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r>
      <w:r w:rsidRPr="00A7436F">
        <w:rPr>
          <w:rFonts w:ascii="Arial" w:eastAsiaTheme="minorHAnsi" w:hAnsi="Arial" w:cs="Arial"/>
          <w:lang w:eastAsia="en-US"/>
        </w:rPr>
        <w:tab/>
        <w:t xml:space="preserve"> </w:t>
      </w:r>
    </w:p>
    <w:p w14:paraId="5C2C8D9F"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t>Imajući u vidu izloženo, ovaj Sud je navode zahtjeva za vanredno preispitivanje cijenio neosnovanim, te je zahtjev odbio primjenom člana 46. stav 1. Zakona o upravnim sporovima.</w:t>
      </w:r>
    </w:p>
    <w:p w14:paraId="3441EE3F" w14:textId="77777777" w:rsidR="00A7436F" w:rsidRPr="00A7436F" w:rsidRDefault="00A7436F" w:rsidP="00A7436F">
      <w:pPr>
        <w:jc w:val="both"/>
        <w:rPr>
          <w:rFonts w:ascii="Arial" w:eastAsiaTheme="minorHAnsi" w:hAnsi="Arial" w:cs="Arial"/>
          <w:lang w:eastAsia="en-US"/>
        </w:rPr>
      </w:pPr>
    </w:p>
    <w:p w14:paraId="605DA66D" w14:textId="77777777"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 xml:space="preserve">     </w:t>
      </w:r>
    </w:p>
    <w:p w14:paraId="03C67EA4" w14:textId="440807E1"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 xml:space="preserve"> </w:t>
      </w:r>
      <w:r>
        <w:rPr>
          <w:rFonts w:ascii="Arial" w:eastAsiaTheme="minorHAnsi" w:hAnsi="Arial" w:cs="Arial"/>
          <w:lang w:eastAsia="en-US"/>
        </w:rPr>
        <w:t xml:space="preserve">     </w:t>
      </w:r>
      <w:r w:rsidRPr="00A7436F">
        <w:rPr>
          <w:rFonts w:ascii="Arial" w:eastAsiaTheme="minorHAnsi" w:hAnsi="Arial" w:cs="Arial"/>
          <w:lang w:eastAsia="en-US"/>
        </w:rPr>
        <w:t>Zapisničar                                                                          Predsjednik vijeća</w:t>
      </w:r>
    </w:p>
    <w:p w14:paraId="70F5014A" w14:textId="120C4787" w:rsidR="00A7436F" w:rsidRPr="00A7436F" w:rsidRDefault="00A7436F" w:rsidP="00A7436F">
      <w:pPr>
        <w:jc w:val="both"/>
        <w:rPr>
          <w:rFonts w:ascii="Arial" w:eastAsiaTheme="minorHAnsi" w:hAnsi="Arial" w:cs="Arial"/>
          <w:lang w:eastAsia="en-US"/>
        </w:rPr>
      </w:pPr>
      <w:r>
        <w:rPr>
          <w:rFonts w:ascii="Arial" w:eastAsiaTheme="minorHAnsi" w:hAnsi="Arial" w:cs="Arial"/>
          <w:lang w:eastAsia="en-US"/>
        </w:rPr>
        <w:t xml:space="preserve">Hodžić Merhunisa, s.r.                                                     </w:t>
      </w:r>
      <w:r w:rsidRPr="00A7436F">
        <w:rPr>
          <w:rFonts w:ascii="Arial" w:eastAsiaTheme="minorHAnsi" w:hAnsi="Arial" w:cs="Arial"/>
          <w:lang w:eastAsia="en-US"/>
        </w:rPr>
        <w:t>Ajanović-Selimović Amela</w:t>
      </w:r>
      <w:r>
        <w:rPr>
          <w:rFonts w:ascii="Arial" w:eastAsiaTheme="minorHAnsi" w:hAnsi="Arial" w:cs="Arial"/>
          <w:lang w:eastAsia="en-US"/>
        </w:rPr>
        <w:t>, s.r.</w:t>
      </w:r>
    </w:p>
    <w:p w14:paraId="023F5811" w14:textId="7254F640" w:rsidR="00A7436F" w:rsidRPr="00A7436F" w:rsidRDefault="00A7436F" w:rsidP="00A7436F">
      <w:pPr>
        <w:jc w:val="both"/>
        <w:rPr>
          <w:rFonts w:ascii="Arial" w:eastAsiaTheme="minorHAnsi" w:hAnsi="Arial" w:cs="Arial"/>
          <w:lang w:eastAsia="en-US"/>
        </w:rPr>
      </w:pPr>
      <w:r w:rsidRPr="00A7436F">
        <w:rPr>
          <w:rFonts w:ascii="Arial" w:eastAsiaTheme="minorHAnsi" w:hAnsi="Arial" w:cs="Arial"/>
          <w:lang w:eastAsia="en-US"/>
        </w:rPr>
        <w:tab/>
      </w:r>
      <w:r w:rsidRPr="00A7436F">
        <w:rPr>
          <w:rFonts w:ascii="Arial" w:eastAsiaTheme="minorHAnsi" w:hAnsi="Arial" w:cs="Arial"/>
          <w:lang w:eastAsia="en-US"/>
        </w:rPr>
        <w:tab/>
      </w:r>
      <w:r w:rsidRPr="00A7436F">
        <w:rPr>
          <w:rFonts w:ascii="Arial" w:eastAsiaTheme="minorHAnsi" w:hAnsi="Arial" w:cs="Arial"/>
          <w:lang w:eastAsia="en-US"/>
        </w:rPr>
        <w:tab/>
        <w:t xml:space="preserve">                     </w:t>
      </w:r>
      <w:r w:rsidRPr="00A7436F">
        <w:rPr>
          <w:rFonts w:ascii="Arial" w:eastAsiaTheme="minorHAnsi" w:hAnsi="Arial" w:cs="Arial"/>
          <w:lang w:eastAsia="en-US"/>
        </w:rPr>
        <w:tab/>
      </w:r>
      <w:r w:rsidRPr="00A7436F">
        <w:rPr>
          <w:rFonts w:ascii="Arial" w:eastAsiaTheme="minorHAnsi" w:hAnsi="Arial" w:cs="Arial"/>
          <w:lang w:eastAsia="en-US"/>
        </w:rPr>
        <w:tab/>
        <w:t xml:space="preserve">                          </w:t>
      </w:r>
    </w:p>
    <w:p w14:paraId="5322321B" w14:textId="77777777" w:rsidR="00A7436F" w:rsidRPr="00A7436F" w:rsidRDefault="00A7436F" w:rsidP="00A7436F">
      <w:pPr>
        <w:jc w:val="both"/>
        <w:rPr>
          <w:rFonts w:ascii="Arial" w:eastAsiaTheme="minorHAnsi" w:hAnsi="Arial" w:cs="Arial"/>
          <w:lang w:eastAsia="en-US"/>
        </w:rPr>
      </w:pPr>
    </w:p>
    <w:p w14:paraId="61E91CE9" w14:textId="77777777" w:rsidR="00A7436F" w:rsidRPr="00A7436F" w:rsidRDefault="00A7436F" w:rsidP="00A7436F">
      <w:pPr>
        <w:jc w:val="both"/>
        <w:rPr>
          <w:rFonts w:ascii="Arial" w:eastAsiaTheme="minorHAnsi" w:hAnsi="Arial" w:cs="Arial"/>
          <w:lang w:eastAsia="en-US"/>
        </w:rPr>
      </w:pPr>
    </w:p>
    <w:p w14:paraId="47070517" w14:textId="77777777" w:rsidR="00A7436F" w:rsidRPr="00A7436F" w:rsidRDefault="00A7436F" w:rsidP="00A7436F">
      <w:pPr>
        <w:jc w:val="both"/>
        <w:rPr>
          <w:rFonts w:ascii="Arial" w:eastAsiaTheme="minorHAnsi" w:hAnsi="Arial" w:cs="Arial"/>
          <w:lang w:eastAsia="en-US"/>
        </w:rPr>
      </w:pPr>
    </w:p>
    <w:p w14:paraId="68C0B5BF" w14:textId="77777777" w:rsidR="002E78F7" w:rsidRPr="00A7436F" w:rsidRDefault="002E78F7" w:rsidP="00A7436F">
      <w:pPr>
        <w:rPr>
          <w:rFonts w:ascii="Arial" w:hAnsi="Arial" w:cs="Arial"/>
        </w:rPr>
      </w:pPr>
    </w:p>
    <w:sectPr w:rsidR="002E78F7" w:rsidRPr="00A7436F" w:rsidSect="00A7436F">
      <w:headerReference w:type="default" r:id="rId6"/>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309DF9" w14:textId="77777777" w:rsidR="00315F2C" w:rsidRDefault="00315F2C" w:rsidP="00A7436F">
      <w:r>
        <w:separator/>
      </w:r>
    </w:p>
  </w:endnote>
  <w:endnote w:type="continuationSeparator" w:id="0">
    <w:p w14:paraId="14F84F6D" w14:textId="77777777" w:rsidR="00315F2C" w:rsidRDefault="00315F2C" w:rsidP="00A74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C9D1E" w14:textId="77777777" w:rsidR="00315F2C" w:rsidRDefault="00315F2C" w:rsidP="00A7436F">
      <w:r>
        <w:separator/>
      </w:r>
    </w:p>
  </w:footnote>
  <w:footnote w:type="continuationSeparator" w:id="0">
    <w:p w14:paraId="15C2E421" w14:textId="77777777" w:rsidR="00315F2C" w:rsidRDefault="00315F2C" w:rsidP="00A74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7394532"/>
      <w:docPartObj>
        <w:docPartGallery w:val="Page Numbers (Top of Page)"/>
        <w:docPartUnique/>
      </w:docPartObj>
    </w:sdtPr>
    <w:sdtEndPr>
      <w:rPr>
        <w:noProof/>
      </w:rPr>
    </w:sdtEndPr>
    <w:sdtContent>
      <w:p w14:paraId="6AFFEBAE" w14:textId="79E62213" w:rsidR="00A7436F" w:rsidRDefault="00A7436F">
        <w:pPr>
          <w:pStyle w:val="Header"/>
          <w:jc w:val="right"/>
        </w:pPr>
        <w:r>
          <w:fldChar w:fldCharType="begin"/>
        </w:r>
        <w:r>
          <w:instrText xml:space="preserve"> PAGE   \* MERGEFORMAT </w:instrText>
        </w:r>
        <w:r>
          <w:fldChar w:fldCharType="separate"/>
        </w:r>
        <w:r w:rsidR="00A44C44">
          <w:rPr>
            <w:noProof/>
          </w:rPr>
          <w:t>4</w:t>
        </w:r>
        <w:r>
          <w:rPr>
            <w:noProof/>
          </w:rPr>
          <w:fldChar w:fldCharType="end"/>
        </w:r>
      </w:p>
    </w:sdtContent>
  </w:sdt>
  <w:p w14:paraId="0ABDC987" w14:textId="77777777" w:rsidR="00A7436F" w:rsidRDefault="00A7436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7F7"/>
    <w:rsid w:val="000670D7"/>
    <w:rsid w:val="000B2355"/>
    <w:rsid w:val="00155383"/>
    <w:rsid w:val="0016451A"/>
    <w:rsid w:val="001B232D"/>
    <w:rsid w:val="002023B8"/>
    <w:rsid w:val="002A465E"/>
    <w:rsid w:val="002C3742"/>
    <w:rsid w:val="002E78F7"/>
    <w:rsid w:val="00315F2C"/>
    <w:rsid w:val="00343735"/>
    <w:rsid w:val="003608DE"/>
    <w:rsid w:val="00384BE5"/>
    <w:rsid w:val="003E333A"/>
    <w:rsid w:val="00463E06"/>
    <w:rsid w:val="004902F1"/>
    <w:rsid w:val="004F036F"/>
    <w:rsid w:val="005067F7"/>
    <w:rsid w:val="00507E93"/>
    <w:rsid w:val="006216FA"/>
    <w:rsid w:val="006A34DF"/>
    <w:rsid w:val="006E0711"/>
    <w:rsid w:val="006F3367"/>
    <w:rsid w:val="00717FE4"/>
    <w:rsid w:val="00812F0A"/>
    <w:rsid w:val="00830655"/>
    <w:rsid w:val="00865990"/>
    <w:rsid w:val="008C6BCB"/>
    <w:rsid w:val="008E4A5F"/>
    <w:rsid w:val="00916D6C"/>
    <w:rsid w:val="00A44C44"/>
    <w:rsid w:val="00A54845"/>
    <w:rsid w:val="00A7436F"/>
    <w:rsid w:val="00B4091D"/>
    <w:rsid w:val="00B460CC"/>
    <w:rsid w:val="00BA4B75"/>
    <w:rsid w:val="00BD2C0A"/>
    <w:rsid w:val="00C51100"/>
    <w:rsid w:val="00CA7AD5"/>
    <w:rsid w:val="00CB0A81"/>
    <w:rsid w:val="00D26B07"/>
    <w:rsid w:val="00DC2A4B"/>
    <w:rsid w:val="00EA330D"/>
    <w:rsid w:val="00EB11F4"/>
    <w:rsid w:val="00F52170"/>
    <w:rsid w:val="00F74E84"/>
    <w:rsid w:val="00F85691"/>
    <w:rsid w:val="00FF0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4CFF1"/>
  <w15:chartTrackingRefBased/>
  <w15:docId w15:val="{91A9334D-8F3F-42C9-A7DD-74D029F1B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AD5"/>
    <w:pPr>
      <w:jc w:val="left"/>
    </w:pPr>
    <w:rPr>
      <w:rFonts w:eastAsia="Times New Roman" w:cs="Times New Roman"/>
      <w:szCs w:val="24"/>
      <w:lang w:val="bs-Latn-BA"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6B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B07"/>
    <w:rPr>
      <w:rFonts w:ascii="Segoe UI" w:eastAsia="Times New Roman" w:hAnsi="Segoe UI" w:cs="Segoe UI"/>
      <w:sz w:val="18"/>
      <w:szCs w:val="18"/>
      <w:lang w:val="bs-Latn-BA" w:eastAsia="hr-HR"/>
    </w:rPr>
  </w:style>
  <w:style w:type="paragraph" w:styleId="Header">
    <w:name w:val="header"/>
    <w:basedOn w:val="Normal"/>
    <w:link w:val="HeaderChar"/>
    <w:uiPriority w:val="99"/>
    <w:unhideWhenUsed/>
    <w:rsid w:val="00A7436F"/>
    <w:pPr>
      <w:tabs>
        <w:tab w:val="center" w:pos="4513"/>
        <w:tab w:val="right" w:pos="9026"/>
      </w:tabs>
    </w:pPr>
  </w:style>
  <w:style w:type="character" w:customStyle="1" w:styleId="HeaderChar">
    <w:name w:val="Header Char"/>
    <w:basedOn w:val="DefaultParagraphFont"/>
    <w:link w:val="Header"/>
    <w:uiPriority w:val="99"/>
    <w:rsid w:val="00A7436F"/>
    <w:rPr>
      <w:rFonts w:eastAsia="Times New Roman" w:cs="Times New Roman"/>
      <w:szCs w:val="24"/>
      <w:lang w:val="bs-Latn-BA" w:eastAsia="hr-HR"/>
    </w:rPr>
  </w:style>
  <w:style w:type="paragraph" w:styleId="Footer">
    <w:name w:val="footer"/>
    <w:basedOn w:val="Normal"/>
    <w:link w:val="FooterChar"/>
    <w:uiPriority w:val="99"/>
    <w:unhideWhenUsed/>
    <w:rsid w:val="00A7436F"/>
    <w:pPr>
      <w:tabs>
        <w:tab w:val="center" w:pos="4513"/>
        <w:tab w:val="right" w:pos="9026"/>
      </w:tabs>
    </w:pPr>
  </w:style>
  <w:style w:type="character" w:customStyle="1" w:styleId="FooterChar">
    <w:name w:val="Footer Char"/>
    <w:basedOn w:val="DefaultParagraphFont"/>
    <w:link w:val="Footer"/>
    <w:uiPriority w:val="99"/>
    <w:rsid w:val="00A7436F"/>
    <w:rPr>
      <w:rFonts w:eastAsia="Times New Roman" w:cs="Times New Roman"/>
      <w:szCs w:val="24"/>
      <w:lang w:val="bs-Latn-BA"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1924</Words>
  <Characters>10969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Babic-Stankovic</dc:creator>
  <cp:keywords/>
  <dc:description/>
  <cp:lastModifiedBy>Armina Kopic</cp:lastModifiedBy>
  <cp:revision>2</cp:revision>
  <cp:lastPrinted>2023-03-14T09:39:00Z</cp:lastPrinted>
  <dcterms:created xsi:type="dcterms:W3CDTF">2023-03-22T08:45:00Z</dcterms:created>
  <dcterms:modified xsi:type="dcterms:W3CDTF">2023-03-22T08:45:00Z</dcterms:modified>
</cp:coreProperties>
</file>