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w:t>
      </w: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  BOSNA  I  HERCEGOVINA</w:t>
      </w: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FEDERACIJA  BOSNE  I  HERCEGOVINE</w:t>
      </w: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VRHOVNI SUD</w:t>
      </w: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FEDERACIJE  BOSNE  I  HERCEGOVINE</w:t>
      </w: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Broj: </w:t>
      </w:r>
      <w:bookmarkStart w:id="0" w:name="_GoBack"/>
      <w:r w:rsidRPr="00A142F6">
        <w:rPr>
          <w:rFonts w:ascii="Times New Roman" w:eastAsia="Times New Roman" w:hAnsi="Times New Roman" w:cs="Times New Roman"/>
          <w:sz w:val="24"/>
          <w:szCs w:val="24"/>
        </w:rPr>
        <w:t>06 0 K 012255 22 Kž 2</w:t>
      </w:r>
      <w:bookmarkEnd w:id="0"/>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Sarajevo, 29.11.2022. godine</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left="216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U IME FEDERACIJE BOSNE I HERCEGOVINE!</w:t>
      </w:r>
    </w:p>
    <w:p w:rsidR="00A142F6" w:rsidRPr="00A142F6" w:rsidRDefault="00A142F6" w:rsidP="00A142F6">
      <w:pPr>
        <w:spacing w:after="0" w:line="240" w:lineRule="auto"/>
        <w:ind w:left="2160"/>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Vrhovni sud Federacije Bosne i Hercegovine u Sarajevu, u vijeću sastavljenom od sudija Slavka Marića kao predsjednika vijeća, Ismete Mujanović i Sedina Idrizovića kao članova vijeća, uz sudjelovanje Živane Roić kao zapisničara, u krivičnom predmetu protiv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zbog krivičnog djela Zloupotreba položaja ili ovlašćenja iz člana 383. stav 3., u vezi sa stavom 1. Krivičnog zakona Federacije Bosne i Hercegovine i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zbog krivičnog djela Zloupotreba položaja ili ovlašćenja iz člana 383. stav 3., u vezi sa stavom 1. i u vezi sa članom 31. Krivičnog zakona Federacije Bosne i Hercegovine, odlučujući o žalbama branitelja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izjavljenim protiv presude Kantonalnog suda u Novom Travniku broj 06 0 K 012255 21 K 2 od 05.07.2022. godine, u sjednici vijeća održanoj dana 29.11.2022. godine u prisustvu federalnog tužitelja Slave Lakića,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njegovog branitelja, advokata Mensura Hodžića i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advokata Džejlane Šaćirbegović–Alibašić, a u odsutnosti uredno obaviještene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donio je</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w:t>
      </w:r>
    </w:p>
    <w:p w:rsidR="00A142F6" w:rsidRPr="00A142F6" w:rsidRDefault="00A142F6" w:rsidP="00A142F6">
      <w:pPr>
        <w:spacing w:after="0" w:line="240" w:lineRule="auto"/>
        <w:jc w:val="center"/>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P R E S U D U</w:t>
      </w:r>
    </w:p>
    <w:p w:rsidR="00A142F6" w:rsidRPr="00A142F6" w:rsidRDefault="00A142F6" w:rsidP="00A142F6">
      <w:pPr>
        <w:spacing w:after="0" w:line="240" w:lineRule="auto"/>
        <w:jc w:val="center"/>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Žalbe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se odbijaju kao neosnovane, a povodom tih žalbi, po službenoj dužnosti, presuda Kantonalnog suda u Novom Travniku broj 06 0 K 012255 21 K 2 od 05.07.2022. godine se preinačava u odluci o mjeri oduzimanja imovinske koristi pribavljena krivičnim djelom tako da se od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na osnovu člana 114. stav 1. i stav 2. i člana 115. stav 1. Krivičnog zakona Federacije Bosne i Hercegovine, oduzima imovinska korist u iznosu od po 34.340,38 KM (tridesetčetirihiljadetristočetrdeset konvertibilnih maraka i tridesetosam pfeninga), koji novac postaje imovina Federacije Bosne i Hercegovine, te se optuženi obavezuju da navedeni novčani iznos uplate na račun Budžeta Federacije Bosne i Hercegovine u roku od 15 dana, od dana pravomoćnosti presude.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U ostalom dijelu prvostepena presuda se potvrđuje.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center"/>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lastRenderedPageBreak/>
        <w:t>O b r a z l o ž e n j e</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w:t>
      </w:r>
      <w:r w:rsidRPr="00A142F6">
        <w:rPr>
          <w:rFonts w:ascii="Times New Roman" w:eastAsia="Times New Roman" w:hAnsi="Times New Roman" w:cs="Times New Roman"/>
          <w:sz w:val="24"/>
          <w:szCs w:val="24"/>
        </w:rPr>
        <w:tab/>
        <w:t xml:space="preserve">Presudom Kantonalnog suda u Novom Travniku broj 06 0 K 012255 21 K 2 od 05.07.2022. godine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je oglašen krivim zbog krivičnog djela Zloupotreba položaja ili ovlašćenja iz člana 383. stav 3., u vezi sa stavom 1. Krivičnog zakona Federacije Bosne i Hercegovine (KZ FBiH), a optužena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je oglašena krivom zbog krivičnog djela Zloupotreba položaja ili ovlašćenja iz člana 383. stav 3., u vezi sa stavom 1. i u vezi sa članom 31. KZ FBiH, pa ih je sud na osnovu istog zakonskog propisa i uz primjenu člana 50. tačka b) i člana 51. stav 1. tačka b) KZ FBiH osudio na kazne zatvora u trajanju od po 1 (jedne) godine. Na osnovu člana 383. stav 4. Zakona o krivičnom postupku Federacije Bosne i Hercegovine (ZKP FBiH) i člana 11. stav 1. tačke a), b) i c) Zakona o oduzimanju nezakonito stečene imovine krivičnim djelom Federacije BiH od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oduzima se imovinska korist u iznosu od 68.680,76 KM (šezdesetosamhiljadašestoosamdeset konvertibilnih maraka i sedamdesetšest pfeninga), koji novac postaje imovina Federacije Bosne i Hercegovine, a optuženi su obavezni da navedeni novčani iznos uplate na račun Budžeta FBiH u roku od 15 dana od dana pravosnažnosti presude. Na osnovu člana 202. stav 1. ZKP FBiH optuženi su obavezani da u cijelosti naknade troškove krivičnog postupka o čijoj visini će sud donijeti posebno rješenje za svakog od optuženih uz plaćanje pauašala u iznosu od po 100,00 KM (stotinu konvertibilnih maraka). Na osnovu člana 212. stav 3. ZKP FBiH oštećeni H</w:t>
      </w:r>
      <w:r w:rsidR="00105936">
        <w:rPr>
          <w:rFonts w:ascii="Times New Roman" w:eastAsia="Times New Roman" w:hAnsi="Times New Roman" w:cs="Times New Roman"/>
          <w:sz w:val="24"/>
          <w:szCs w:val="24"/>
        </w:rPr>
        <w:t>.H.</w:t>
      </w:r>
      <w:r w:rsidRPr="00A142F6">
        <w:rPr>
          <w:rFonts w:ascii="Times New Roman" w:eastAsia="Times New Roman" w:hAnsi="Times New Roman" w:cs="Times New Roman"/>
          <w:sz w:val="24"/>
          <w:szCs w:val="24"/>
        </w:rPr>
        <w:t>, S</w:t>
      </w:r>
      <w:r w:rsidR="00105936">
        <w:rPr>
          <w:rFonts w:ascii="Times New Roman" w:eastAsia="Times New Roman" w:hAnsi="Times New Roman" w:cs="Times New Roman"/>
          <w:sz w:val="24"/>
          <w:szCs w:val="24"/>
        </w:rPr>
        <w:t>.Š.</w:t>
      </w:r>
      <w:r w:rsidRPr="00A142F6">
        <w:rPr>
          <w:rFonts w:ascii="Times New Roman" w:eastAsia="Times New Roman" w:hAnsi="Times New Roman" w:cs="Times New Roman"/>
          <w:sz w:val="24"/>
          <w:szCs w:val="24"/>
        </w:rPr>
        <w:t>, Š</w:t>
      </w:r>
      <w:r w:rsidR="00105936">
        <w:rPr>
          <w:rFonts w:ascii="Times New Roman" w:eastAsia="Times New Roman" w:hAnsi="Times New Roman" w:cs="Times New Roman"/>
          <w:sz w:val="24"/>
          <w:szCs w:val="24"/>
        </w:rPr>
        <w:t>.A.</w:t>
      </w:r>
      <w:r w:rsidRPr="00A142F6">
        <w:rPr>
          <w:rFonts w:ascii="Times New Roman" w:eastAsia="Times New Roman" w:hAnsi="Times New Roman" w:cs="Times New Roman"/>
          <w:sz w:val="24"/>
          <w:szCs w:val="24"/>
        </w:rPr>
        <w:t>, F</w:t>
      </w:r>
      <w:r w:rsidR="00105936">
        <w:rPr>
          <w:rFonts w:ascii="Times New Roman" w:eastAsia="Times New Roman" w:hAnsi="Times New Roman" w:cs="Times New Roman"/>
          <w:sz w:val="24"/>
          <w:szCs w:val="24"/>
        </w:rPr>
        <w:t>.A.</w:t>
      </w:r>
      <w:r w:rsidRPr="00A142F6">
        <w:rPr>
          <w:rFonts w:ascii="Times New Roman" w:eastAsia="Times New Roman" w:hAnsi="Times New Roman" w:cs="Times New Roman"/>
          <w:sz w:val="24"/>
          <w:szCs w:val="24"/>
        </w:rPr>
        <w:t>, H</w:t>
      </w:r>
      <w:r w:rsidR="00105936">
        <w:rPr>
          <w:rFonts w:ascii="Times New Roman" w:eastAsia="Times New Roman" w:hAnsi="Times New Roman" w:cs="Times New Roman"/>
          <w:sz w:val="24"/>
          <w:szCs w:val="24"/>
        </w:rPr>
        <w:t>.J.</w:t>
      </w:r>
      <w:r w:rsidRPr="00A142F6">
        <w:rPr>
          <w:rFonts w:ascii="Times New Roman" w:eastAsia="Times New Roman" w:hAnsi="Times New Roman" w:cs="Times New Roman"/>
          <w:sz w:val="24"/>
          <w:szCs w:val="24"/>
        </w:rPr>
        <w:t>, Š</w:t>
      </w:r>
      <w:r w:rsidR="00105936">
        <w:rPr>
          <w:rFonts w:ascii="Times New Roman" w:eastAsia="Times New Roman" w:hAnsi="Times New Roman" w:cs="Times New Roman"/>
          <w:sz w:val="24"/>
          <w:szCs w:val="24"/>
        </w:rPr>
        <w:t>.A.1</w:t>
      </w:r>
      <w:r w:rsidRPr="00A142F6">
        <w:rPr>
          <w:rFonts w:ascii="Times New Roman" w:eastAsia="Times New Roman" w:hAnsi="Times New Roman" w:cs="Times New Roman"/>
          <w:sz w:val="24"/>
          <w:szCs w:val="24"/>
        </w:rPr>
        <w:t>, S</w:t>
      </w:r>
      <w:r w:rsidR="00105936">
        <w:rPr>
          <w:rFonts w:ascii="Times New Roman" w:eastAsia="Times New Roman" w:hAnsi="Times New Roman" w:cs="Times New Roman"/>
          <w:sz w:val="24"/>
          <w:szCs w:val="24"/>
        </w:rPr>
        <w:t>.A.</w:t>
      </w:r>
      <w:r w:rsidRPr="00A142F6">
        <w:rPr>
          <w:rFonts w:ascii="Times New Roman" w:eastAsia="Times New Roman" w:hAnsi="Times New Roman" w:cs="Times New Roman"/>
          <w:sz w:val="24"/>
          <w:szCs w:val="24"/>
        </w:rPr>
        <w:t>, N</w:t>
      </w:r>
      <w:r w:rsidR="00105936">
        <w:rPr>
          <w:rFonts w:ascii="Times New Roman" w:eastAsia="Times New Roman" w:hAnsi="Times New Roman" w:cs="Times New Roman"/>
          <w:sz w:val="24"/>
          <w:szCs w:val="24"/>
        </w:rPr>
        <w:t>.L.</w:t>
      </w:r>
      <w:r w:rsidRPr="00A142F6">
        <w:rPr>
          <w:rFonts w:ascii="Times New Roman" w:eastAsia="Times New Roman" w:hAnsi="Times New Roman" w:cs="Times New Roman"/>
          <w:sz w:val="24"/>
          <w:szCs w:val="24"/>
        </w:rPr>
        <w:t>, S</w:t>
      </w:r>
      <w:r w:rsidR="00105936">
        <w:rPr>
          <w:rFonts w:ascii="Times New Roman" w:eastAsia="Times New Roman" w:hAnsi="Times New Roman" w:cs="Times New Roman"/>
          <w:sz w:val="24"/>
          <w:szCs w:val="24"/>
        </w:rPr>
        <w:t>.S.</w:t>
      </w:r>
      <w:r w:rsidRPr="00A142F6">
        <w:rPr>
          <w:rFonts w:ascii="Times New Roman" w:eastAsia="Times New Roman" w:hAnsi="Times New Roman" w:cs="Times New Roman"/>
          <w:sz w:val="24"/>
          <w:szCs w:val="24"/>
        </w:rPr>
        <w:t xml:space="preserve"> i F</w:t>
      </w:r>
      <w:r w:rsidR="00105936">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su sa imovinskopravnim zahtjevima u cijelosti upućeni na parnični postupak.</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Protiv navedene presude žalbe su izjavili 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Mensur Hodžić advokat iz Zenice i 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advokat Džejlane Šaćirbegović–Alibašić iz Zenice.</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Žalbom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navedena presuda se pobija zbog bitne povrede odredaba krivičnog postupka, povrede krivičnog zakona, pogrešno i nepotpuno utvrđenog činjeničnog stanja, odluke o krivičnopravnoj sankciji i mjere o oduzimanju imovinske koristi, te odluke o troškovima postupka sa prijedlogom da se žalba uvaži i pobijana presuda preinači i da se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oslobodi od optužbe ili da se uvažavajući žalbu optuženog rješenjem ukine prvostepena presuda i „odredi izvođenje novih dokaza ili ponovi već provedene dokaze u prvostepenom postupku“ i donese presuda kojom se optuženi oslobađa od optužbe ili da se prvostepena presuda ukine i predmet vrati prvostepenom sudu na ponovno suđenje i to drugom sudskom vijeću. U žalbi je tražio da se optuženi i njegov branitelj obavijeste o sjednici vijeća.</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Žalbom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navedena presuda se pobija zbog bitne povrede odredaba krivičnog postupka, povrede krivičnog zakona, pogrešno ili nepotpuno utvrđenog činjeničnog stanja, odluke o krivičnopravnoj sankciji i odluke o mjeri o oduzimanju imovinske koristi, s prijedlogom da se, kako navodi u žalbi, žalba uvaži, pobijana presuda ukine i predmet vrati na ponovni postupak i odlučivanje pred drugim sudskim vijećem.</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Federalni tužitelj je podneskom broj T06 0 KTPOŽ 0020542 22 3 od 16.09.2022. godine predložio da se žalbe branitelja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odbiju kao neosnovane.</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Na sjednici vijeća ovog suda koja je održana shodno odredbi člana 319. stav 3. ZKP FBiH, u odsutnosti uredno obaviještene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je naglasio da ostaje kod svih navoda i prijedloga iz žalbe.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je izjavio da je u cijelosti </w:t>
      </w:r>
      <w:r w:rsidRPr="00A142F6">
        <w:rPr>
          <w:rFonts w:ascii="Times New Roman" w:eastAsia="Times New Roman" w:hAnsi="Times New Roman" w:cs="Times New Roman"/>
          <w:sz w:val="24"/>
          <w:szCs w:val="24"/>
        </w:rPr>
        <w:lastRenderedPageBreak/>
        <w:t xml:space="preserve">saglasan sa navodima i prijedlozima svog branitelja. 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je izložila žalbu i naglasila da u cijelosti ostaje kod svih navoda i prijedloga iz žalbe. Federalni tužitelj je ostao kod navoda i prijedloga iz podneska od16.09.2022. godine.</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Ovaj sud je ispitao pobijanu presudu u granicama žalbenih navoda i po službenoj dužnosti u smislu člana 321. ZKP FBiH, da li je na štetu optuženih povrijeđen krivični zakon, pa je odlučio kao u izreci iz sljedećih razloga:</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u uvodnom dijelu žalbe navodi da se pobijana presuda osporava zbog bitne povrede odredaba krivičnog postupka, dok se u obrazloženju žalbe izričito ne poziva na određenu bitnu povredu odredaba krivičnog postupka pa se samo iz sadržine žalbenih navoda može posredno zaključiti o kojoj bitnoj povredi odredaba krivičnog postupka se radi.</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Tako, 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u žalbi ističe da je zbog pogrešne pravne analize dokaza izreka presude nerazumljiva, jer se iz provedenih dokaza trebao izvesti drugi zaključak od navoda u optužnici, da nema ostvarenih bitnih obilježja krivičnog djela zloupotrebe službenog položaja, kako je to navela odbrana u završnom izlaganju. Kako se u žalbi dalje navodi, učinjena je bitna povreda odredaba krivičnog postupka jer je izreka presude proturječna sama sebi i iznesenim razlozima, a izneseni razlozi su pravno proizvoljni i neosnovani vezano za radnju krivičnog djela i krivičnu odgovornost optuženog. Na osnovu sadržine ovih žalbenih navoda može se zaključiti da se oni odnose na bitnu povredu odredaba krivičnog postupka iz člana 312. stav 1. tačka k) ZKP FBiH. Međutim, ako je na osnovu analize izvedenih dokaza izveden pogrešan zaključak da su ostvarena obilježja krivičnog djela onda to izreku presude ne čini nerazumljivom. U žalbi branitelja optuženog se ne tvrdi da izreka presude sadrži određene činjenice ili okolnosti koje se tiču bitnih obilježja krivičnog djela za koje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oglašen krivim koje bi eventualno izreku presude mogle činiti nerazumljivom. Također se u žalbi ne konkretizuje u čemu se ogleda proturječnost izreke presude same sebi i kojim razlozima datim u obrazloženju presude je izreka iste proturječna. Stoga ovaj sud nalazi da nije učinjena bitne povreda odredba krivičnog postupka na koju ukazuje ranije iznesenim žalbenim navodima 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Iako se, prema uvodnom dijelu žalbe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prvostepena presuda pobija zbog bitnih povreda odredaba krivičnog postupka iz člana 312. stav 1. tačke d), h) i k) i stav 2. ZKP FBiH u obrazloženju žalbe navedene bitne povrede odredaba krivičnog postupka se izričito ne pominju. Stoga se samo posredno, na osnovu sadržine žalbenih navoda, može zaključiti koji od tih navoda se odnose na pojedinu od navedenih bitnih povreda odredaba krivičnog postupka. </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Tako 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 žalbi navodi da su optuženi sudu predložili saslušanje svjedoka </w:t>
      </w:r>
      <w:r w:rsidR="00105936">
        <w:rPr>
          <w:rFonts w:ascii="Times New Roman" w:eastAsia="Times New Roman" w:hAnsi="Times New Roman" w:cs="Times New Roman"/>
          <w:sz w:val="24"/>
          <w:szCs w:val="24"/>
        </w:rPr>
        <w:t>M.K.</w:t>
      </w:r>
      <w:r w:rsidRPr="00A142F6">
        <w:rPr>
          <w:rFonts w:ascii="Times New Roman" w:eastAsia="Times New Roman" w:hAnsi="Times New Roman" w:cs="Times New Roman"/>
          <w:sz w:val="24"/>
          <w:szCs w:val="24"/>
        </w:rPr>
        <w:t xml:space="preserve"> koji je bio član nadzornog odbora društva i koji je zajedno sa prvooptuženim donio odluku broj 02-13/2009 od 23.02.2009. godine kojom se odobrava prodaja zgrade, a da je taj prijedlog odbrane prvooptuženog ignorisao sud, a tužitelj nije ex officio preduzeo elementarnu obavezu utvrđivanja činjenice koja može da tereti prvooptuženog, odnosno koja može da mu bude od koristi. Kako se iz sadržine iznesenih žalbenih navoda može zaključiti njima se ukazuje na povredu prava na odbranu optuženih i odnose se na bitnu povredu odredaba krivičnog postupka iz člana 312. stav 1. tačka d) ZKP FBiH. </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lastRenderedPageBreak/>
        <w:t xml:space="preserve">Međutim, 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pri iznošenju pomenute žalbene tvrdnje ne konkretizuje kada je odbrana optuženih, ili je to bio prijedlog samo odbrane prvooptuženog, uopće predložila da se izvede dokaz  saslušanjem svjedoka M</w:t>
      </w:r>
      <w:r w:rsidR="00105936">
        <w:rPr>
          <w:rFonts w:ascii="Times New Roman" w:eastAsia="Times New Roman" w:hAnsi="Times New Roman" w:cs="Times New Roman"/>
          <w:sz w:val="24"/>
          <w:szCs w:val="24"/>
        </w:rPr>
        <w:t>.K.</w:t>
      </w:r>
      <w:r w:rsidRPr="00A142F6">
        <w:rPr>
          <w:rFonts w:ascii="Times New Roman" w:eastAsia="Times New Roman" w:hAnsi="Times New Roman" w:cs="Times New Roman"/>
          <w:sz w:val="24"/>
          <w:szCs w:val="24"/>
        </w:rPr>
        <w:t xml:space="preserve"> da bi ovaj sud bio u prilici ispitati osnovanost žalbenih navoda da je prvostepeni sud taj prijedlog odbrane ignorisao. Nadalje, iz sadržine predmetnog spisa ne proizilazi da je odbrana optuženih uopće i predlagala da se provede dokaz saslušanjem ranije navedenog svjedoka iako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pomenuo u svojoj izjavi, koju je dao kao svjedok na zapisniku sa glavnog pretresa održanog 12.02.2020. godine, da je nakon što je član nadzornog odbora M</w:t>
      </w:r>
      <w:r w:rsidR="00105936">
        <w:rPr>
          <w:rFonts w:ascii="Times New Roman" w:eastAsia="Times New Roman" w:hAnsi="Times New Roman" w:cs="Times New Roman"/>
          <w:sz w:val="24"/>
          <w:szCs w:val="24"/>
        </w:rPr>
        <w:t>.Č.</w:t>
      </w:r>
      <w:r w:rsidRPr="00A142F6">
        <w:rPr>
          <w:rFonts w:ascii="Times New Roman" w:eastAsia="Times New Roman" w:hAnsi="Times New Roman" w:cs="Times New Roman"/>
          <w:sz w:val="24"/>
          <w:szCs w:val="24"/>
        </w:rPr>
        <w:t xml:space="preserve"> bio u sukobu interesa da je onda izabran drugi član M</w:t>
      </w:r>
      <w:r w:rsidR="00105936">
        <w:rPr>
          <w:rFonts w:ascii="Times New Roman" w:eastAsia="Times New Roman" w:hAnsi="Times New Roman" w:cs="Times New Roman"/>
          <w:sz w:val="24"/>
          <w:szCs w:val="24"/>
        </w:rPr>
        <w:t>.K.</w:t>
      </w:r>
      <w:r w:rsidRPr="00A142F6">
        <w:rPr>
          <w:rFonts w:ascii="Times New Roman" w:eastAsia="Times New Roman" w:hAnsi="Times New Roman" w:cs="Times New Roman"/>
          <w:sz w:val="24"/>
          <w:szCs w:val="24"/>
        </w:rPr>
        <w:t xml:space="preserve"> ali ni na tom zapisniku nema prijedloga odbrane da se isti sasluša u svojstvu svjedoka. Stoga su iznesene žalbene tvrdnje ne samo neosnovane nego i netačne pa nije učinjena ni bitna povreda odredaba krivičnog postupka iz člana 312. stav 1. tačka d) ZKP FBiH. </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Nadalje, 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 žalbi ističe da je prvooptuženi u toku postupka istakao da je odluku broj 02-13/2009 od 23.02.2009. godine donio zajedno sa drugim članom nadzornog odbora M</w:t>
      </w:r>
      <w:r w:rsidR="00105936">
        <w:rPr>
          <w:rFonts w:ascii="Times New Roman" w:eastAsia="Times New Roman" w:hAnsi="Times New Roman" w:cs="Times New Roman"/>
          <w:sz w:val="24"/>
          <w:szCs w:val="24"/>
        </w:rPr>
        <w:t>.K.</w:t>
      </w:r>
      <w:r w:rsidRPr="00A142F6">
        <w:rPr>
          <w:rFonts w:ascii="Times New Roman" w:eastAsia="Times New Roman" w:hAnsi="Times New Roman" w:cs="Times New Roman"/>
          <w:sz w:val="24"/>
          <w:szCs w:val="24"/>
        </w:rPr>
        <w:t xml:space="preserve">, te da je prvostepeni sud trebao ex officio postupiti i naložiti saslušanje istog jer, kako se u žalbi navodi, zasnivanje presude na pretpostavci da je predmetnu odluku donio samo prvooptuženi bez saslušanja drugog člana nadzornog odbora društva je zabranjen dokaz iz kojeg proizilazi bitna povreda odredba krivičnog postupka koja pobijanu presudu čini nezakonitom. Iz ovog žalbenog navoda, imajući u vidu da on sadrži tvrdnju da prvostepeni sud pri donošenju pobijane presude nije mogao koristiti određene dokaze, a da u uvodu žalbe ističe da se prvostepena presuda pobija zbog bitne povrede odredaba krivičnog postupka iz člana 312. stav 1. tačka i) ZKP FBiH, ovaj sud zaključuje da se oni odnose na tvrdnju da je prvostepeni sud učinio navedenu bitnu povredu odredaba krivičnog postupka. </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Međutim, prema odredbi člana 312. stav 1. tačka i) ZKP FBiH bitna povreda odredaba krivičnog postupka postoji ako se presuda zasniva na dokazu na kome se po odredbama tog zakona ne može zasnivati presuda. To dalje znači da je za ustanovljenje navedene bitne povrede odredaba krivičnog postupka neophodno utvrditi da je presuda zasnovana na dokazu za koji je u zakonu izričito navedeno da se na njemu ne može zasnovati sudska odluka ili na dokazu pribavljenom povredama ljudskih prava i sloboda propisanim Ustavom i međunarodnim ugovorima koje je BiH ratifikovala ili bitnim povredama ZKP FBiH, kako je propisano članom 11. stav 2. ZKP FBiH. Dakle, iz naprijed navedenih zakonskih odredbi ne proizilazi da je tim odredbama ili nekim drugim odredbama zakona pripisano da je izvođenje određenog dokaza zabranjeno, a niti se žalbom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ukazuje na neku zakonsku odredbu koja to propisuje. Nadalje, u žalbi braniteljice se ne iznosi tvrdnja zašto bi i koji dokazi na kojim se temelji pobijana presuda bili nezakoniti sve  i ako je prvostepeni sud propustio izvesti neki dokaz koji je trebao izvesti. Stoga ovaj sud nalazi da se neosnovano žalbom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ukazuje na učinjenu bitnu povredu odredaba krivičnog postupka iz člana 312. stav 1. tačka i) ZKP FBiH.</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 žalbi tvrdi da je tužiteljstvo trebalo dokazati, a prvostepeni sud utvrditi voljnu komponentu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za činjenje krivičnog djela, koja je stekla pravo naplate svog potraživanja dosuđenog pravomoćnom presudom „te da je na osnovu pravomoćne presude formirala mišljenje za počinjenje krivičnog djela u privrednom društvu“. Zbog navedenog, prema mišljenju braniteljice optužene, pobijana presuda ne sadrži razloge o odlučnim činjenicama. Na osnovu sadržine ovih žalbenih navoda može se zaključiti da se oni odnose na bitnu povredu odredaba krivičnog postupka iz člana 312. stav 1. tačka k) ZKP FBiH. Međutim, ovi žalbeni navodi braniteljice optužene su neosnovani jer je </w:t>
      </w:r>
      <w:r w:rsidRPr="00A142F6">
        <w:rPr>
          <w:rFonts w:ascii="Times New Roman" w:eastAsia="Times New Roman" w:hAnsi="Times New Roman" w:cs="Times New Roman"/>
          <w:sz w:val="24"/>
          <w:szCs w:val="24"/>
        </w:rPr>
        <w:lastRenderedPageBreak/>
        <w:t xml:space="preserve">prvostepeni sud u obrazloženju pobijane presude (strana 10 i 11) naveo razloge zbog kojih nalazi da je optužena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postupala sa umišljajem pri učinjenju konkretnog krivičnog djela.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Tvrdnja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da zbog toga što „nije dopustio da se u cijelosti izvedu svi predloženi dokazi (pojedinačno označeni na stranama 5. i 6. žalbe), da se o istima izjasne svjedoci, vještaci i optuženi“ prvostepeni sud nije potpuno riješio predmet optužbe, koja bi se po svojoj sadržini mogla odnositi na bitnu povredu odredaba krivičnog postupka iz člana 312. stav 1. tačka h) ZKP FBiH, je također neosnovana. Naime, činjenični opis djela u izreci presude odgovara činjeničnom opisu djelu iz optužnice koja je izmijenjena na glavnom pretresu od 12.02.2020. godine, a on sadrži činjenice i okolnosti iz kojih proizilaze radnje izvršenja koje je preduzela optužena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i one koje se odnose na njen psihički odnos prema djelu za koje je oglašena krivom. Kod takvog stanja u spisu proizvoljnom se ukazuje tvrdnja braniteljice optužene da pobijanom presudom nije potpuno riješen predmet optužbe i da je zbog toga učinjena bitna povreda odredaba krivičnog postupka, a tim prije što se ni u žalbi ne ukazuje konkretno koji eventualno dio optužbe nije riješen.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Prema tome, neosnovano se žalbama branitelja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prvostepena presuda pobija zbog bitnih povreda odredaba krivičnog postupka.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Pravilnost i potpunost činjeničnog stanja utvrđenog u prvostepenoj presudi 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osporava tvrdnjom da izvedenim dokazima nije dokazano da je ovaj optuženi učinio krivično djelo za koje je oglašen krivim. Navedena tvrdnja je, prema žalbenim navodima, utemeljena na iskazima optuženih koji su ispitani u toku postupka iz kojih se vidi da su optuženi u svemu postupali u skladu sa zakonom i statutom dioničarskog društva. Pri tome branitelj optuženog ističe dijelove iskaza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koji su, kako se navodi u žalbi, više puta ponovili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bio dioničar sa ¾ dijela u dioničarskom društvu i sa 84% dionica pa je mogao nesmetano da raspolaže imovinom društva kao svojom privatnom imovinom do ¾ dijela u skladu sa Zakonom o privrednim društvima, a da iz iskaza optuženih slijedi da su optuženi radili kako je to opisano u optužnici da bi spasili svoju imovinu i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zakonito donio odluku o prodaji upravne zgrade društva da samo djelimično naplati svoj i suprugin dio u imovini, pošto je optužena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imala pravosnažnu odluku za naplatu potraživanja od 50.000,00 KM.</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Iznesenim žalbenim navodima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se pravilnost i potpunost utvrđenog činjeničnog stanja u pobijanoj presudi ne dovodi u pitanje.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Iz pobijane presude i razloga datih u obrazloženju (strane 7. do 10.) slijedi da je prvostepeni sud, nakon ocjene izvedenih dokaza i to, kako iskaza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koji je ispitan u svojstvu svjedoka, tako i drugih izvedenih dokaza pojedinačno i njihovoj međusobnoj povezanosti utvrdio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suprotno odredbama člana 98. tačka 11. i člana 112. tačka 7. Statuta privrednog društva „Rudina“ d. d. Donji Vakuf, mimo odluke i znanja skupštine društva i nadzornog odbora i bez održane sjednice nadzornog odbora samoinicijativno donio odluku broj 02-13/2009 od 23.02.2009. godine kojom se odobrava prodaja upravne zgrade društva, čime je prekoračio svoja ovlaštenja i zloupotrijebio položaj predsjednika nadzornog odbora društva, jer za takvo svoje postupanje nije imao uporišta u pomenutim odredbama Statuta društva niti u odredbama Zakona o privrednim društvima. Također je prvostepeni sud dao razloge za svoj zaključak da za navedeno postupanje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kao predsjednik nadzornog odbora društva da samoinicijativno donese odluku o prodaji upravne zgrade društva, nije imao uporišta niti u jednoj odredbi Statuta društva ili u odredbama Zakona o privrednim društvima i pored činjenice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vlasnik </w:t>
      </w:r>
      <w:r w:rsidRPr="00A142F6">
        <w:rPr>
          <w:rFonts w:ascii="Times New Roman" w:eastAsia="Times New Roman" w:hAnsi="Times New Roman" w:cs="Times New Roman"/>
          <w:sz w:val="24"/>
          <w:szCs w:val="24"/>
        </w:rPr>
        <w:lastRenderedPageBreak/>
        <w:t xml:space="preserve">68,2909% dionica društva, kao utvrđuje prvostepeni sud, jer mu ni suvlasnički udio u vlasništvu društva ne daje pravo za donošenje odluke na navedeni način. Žalbom branitelja optuženog se razlozi koje je dao prvostepeni sud i ne osporavaju niti se u žalbi iznose argumenti za tvrdnju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mogao postupati na opisani način i kao većinski vlasnik nesmetano raspolagati imovinom društva kao svojom privatnom imovinom. Osim toga, žalba se ne poziva na konkretnu odredbu statuta društva ili nekog zakona na kojima bi se temeljilo takvo ponašanje optuženog, pa se iznesene tvrdnje branitelja optuženog ukazuju proizvoljnim, a samim tim i neosnovanim. S tim u vezi, na pomenuti zaključak prvostepenog suda nije od uticaja ni to što je optuženi predmetnu odluku donio da bi naplatio svoj i suprugin dio u imovini i što je supruga optuženog, optužena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imala pravomoćnu odluku za naplatu potraživanja u iznosu od 50.000,00 KM.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Neosnovano se prvostepena presuda pobija tvrdnjom da prvostepeni sud ne spominje niti cijeni nespornu činjenicu da je 31.01.2011. godine rješenjem Općinskog suda u Travniku otvoren stečajni postupak nad društvom na koje niko nije prijavio svoja potraživanja iako su svi dioničari mogli da prijave i zatraže naplatu imovine ako su imali interesa za to, a ne da to izjavljuju prilikom saslušanja 2017. godine. Prije svega, netačna je tvrdnja da prvostepeni sud ne spominje i ne cijeni rješenje Općinskog suda u Travniku, jer iz razloga pobijane presude slijedi da je prvostepeni sud imao u vidu rješenje tog suda broj 50 0 St 031847 10 St od 31.01.2011. godine kojim je otvoren stečaj nad pomenutim društvom, te je dao određene razloge zašto smatra irelevantnim to što dioničari društva svoja potraživanja nisu prijavili u stečajnom postupku, kojim razlozima se žalba branitelja optuženog uopće ne bavi. Stoga se ni iznesenim navodima u žalbi ne dovodi u pitanje pravilnost pobijane presude, a posebno kada se ima u vidu da se ni u žalbi ne iznosi argumentacija od kakvog značaja bi navedene okolnosti bile na odlučivanje u konkretnom slučaju.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Pravilnost utvrđenog činjeničnog stanja u pogledu učinjenog krivičnog djela od strane optuženog N</w:t>
      </w:r>
      <w:r w:rsidR="00105936">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branitelj ovog optuženog osporava navodima u žalbi da je „apsolutno pravno nemoguće da se osporena presuda može zasnivati na iskazima 14 svjedoka  koji su prestali još 2006. godine biti članovi dioničarskog društva, jer su rasprodali svoje dionice, pa je samim tim  prestalo postojati članstvo potrebno za održavanje skupštine i bilo kojeg drugog tijela društva“. Međutim, neprihvatljiva je tvrdnja branitelja optuženog da je u konkretnom slučaju na iskazima svjedoka „apsolutno pravno nemoguće“ zasnovati presudu samo zato što su svjedoci 2006. godine prestali biti članovi dioničarskog društva, jer sama ta činjenica, da svjedoci nisu članovi dioničarskog društva, ne upućuje na zaključak da ti svjedoci u svojim iskazima nisu mogli dati obavijesti o krivičnom djelu, učinitelju i drugim važnim okolnostima, a odredbom člana 16. ZKP FBiH propisano je da pravo suda da ocjenjuje postojanje ili nepostojanje činjenice nije vezano ni ograničeno formalnim dokaznim pravilima. Stoga se pravilnost utvrđenog činjeničnog stanja u pobijanoj presudi, kao ni vjerodostojnost iskaza svjedoka na čije se iskaze ukazuje u žalbi, ne može dovesti u pitanje samo zbog toga što su svjedoci prestali još 2006. godine biti članovi dioničarskog društva. Ovo tim prije što je prvostepeni sud iskaze tih svjedoka cijenio u vezi sa činjenicama i okolnostima koje se odnose na rad dioničarskog društva. Kako prvostepeni sud navodi u obrazloženju svoje presude (strana 7., pasus posljednji), na osnovu izjava ispitanih svjedoka koji su uglavnom bili dioničari društva, izveo je zaključak da je dokazano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donio i potpisao odluku o prodaji upravne zgrade društva a da nije prije toga održana skupština društva, niti su dioničari koji čine skupštinu društva o tome bili upoznati, što se ne osporava ni navodima u žalbi.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lastRenderedPageBreak/>
        <w:tab/>
        <w:t xml:space="preserve">U žalbi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se navodi da je prvostepeni sud pogrešno cijenio iskaze 14 svjedoka i pogrešno poprima da se iz njihovih iskaza može zaključiti da je optužnica osnovana jer, kada se pojedinačno iščitaju iskazi ispitanih svjedoka, dioničara, može se zaključiti suprotno. Pri tome se u žalbi ukazuje na dijelove iskaza svjedoka N</w:t>
      </w:r>
      <w:r w:rsidR="00105936">
        <w:rPr>
          <w:rFonts w:ascii="Times New Roman" w:eastAsia="Times New Roman" w:hAnsi="Times New Roman" w:cs="Times New Roman"/>
          <w:sz w:val="24"/>
          <w:szCs w:val="24"/>
        </w:rPr>
        <w:t>.L.</w:t>
      </w:r>
      <w:r w:rsidRPr="00A142F6">
        <w:rPr>
          <w:rFonts w:ascii="Times New Roman" w:eastAsia="Times New Roman" w:hAnsi="Times New Roman" w:cs="Times New Roman"/>
          <w:sz w:val="24"/>
          <w:szCs w:val="24"/>
        </w:rPr>
        <w:t>, F</w:t>
      </w:r>
      <w:r w:rsidR="00105936">
        <w:rPr>
          <w:rFonts w:ascii="Times New Roman" w:eastAsia="Times New Roman" w:hAnsi="Times New Roman" w:cs="Times New Roman"/>
          <w:sz w:val="24"/>
          <w:szCs w:val="24"/>
        </w:rPr>
        <w:t>.K.</w:t>
      </w:r>
      <w:r w:rsidRPr="00A142F6">
        <w:rPr>
          <w:rFonts w:ascii="Times New Roman" w:eastAsia="Times New Roman" w:hAnsi="Times New Roman" w:cs="Times New Roman"/>
          <w:sz w:val="24"/>
          <w:szCs w:val="24"/>
        </w:rPr>
        <w:t>, S</w:t>
      </w:r>
      <w:r w:rsidR="00105936">
        <w:rPr>
          <w:rFonts w:ascii="Times New Roman" w:eastAsia="Times New Roman" w:hAnsi="Times New Roman" w:cs="Times New Roman"/>
          <w:sz w:val="24"/>
          <w:szCs w:val="24"/>
        </w:rPr>
        <w:t>.S.</w:t>
      </w:r>
      <w:r w:rsidRPr="00A142F6">
        <w:rPr>
          <w:rFonts w:ascii="Times New Roman" w:eastAsia="Times New Roman" w:hAnsi="Times New Roman" w:cs="Times New Roman"/>
          <w:sz w:val="24"/>
          <w:szCs w:val="24"/>
        </w:rPr>
        <w:t>, te H</w:t>
      </w:r>
      <w:r w:rsidR="00105936">
        <w:rPr>
          <w:rFonts w:ascii="Times New Roman" w:eastAsia="Times New Roman" w:hAnsi="Times New Roman" w:cs="Times New Roman"/>
          <w:sz w:val="24"/>
          <w:szCs w:val="24"/>
        </w:rPr>
        <w:t>.Ž.</w:t>
      </w:r>
      <w:r w:rsidRPr="00A142F6">
        <w:rPr>
          <w:rFonts w:ascii="Times New Roman" w:eastAsia="Times New Roman" w:hAnsi="Times New Roman" w:cs="Times New Roman"/>
          <w:sz w:val="24"/>
          <w:szCs w:val="24"/>
        </w:rPr>
        <w:t>, kojima nije ništa poznato o radu društva iako su bili dioničari kao i na dijelove iskaze svjedoka M</w:t>
      </w:r>
      <w:r w:rsidR="00105936">
        <w:rPr>
          <w:rFonts w:ascii="Times New Roman" w:eastAsia="Times New Roman" w:hAnsi="Times New Roman" w:cs="Times New Roman"/>
          <w:sz w:val="24"/>
          <w:szCs w:val="24"/>
        </w:rPr>
        <w:t>.Č.</w:t>
      </w:r>
      <w:r w:rsidRPr="00A142F6">
        <w:rPr>
          <w:rFonts w:ascii="Times New Roman" w:eastAsia="Times New Roman" w:hAnsi="Times New Roman" w:cs="Times New Roman"/>
          <w:sz w:val="24"/>
          <w:szCs w:val="24"/>
        </w:rPr>
        <w:t>, Š</w:t>
      </w:r>
      <w:r w:rsidR="00105936">
        <w:rPr>
          <w:rFonts w:ascii="Times New Roman" w:eastAsia="Times New Roman" w:hAnsi="Times New Roman" w:cs="Times New Roman"/>
          <w:sz w:val="24"/>
          <w:szCs w:val="24"/>
        </w:rPr>
        <w:t>.A.</w:t>
      </w:r>
      <w:r w:rsidRPr="00A142F6">
        <w:rPr>
          <w:rFonts w:ascii="Times New Roman" w:eastAsia="Times New Roman" w:hAnsi="Times New Roman" w:cs="Times New Roman"/>
          <w:sz w:val="24"/>
          <w:szCs w:val="24"/>
        </w:rPr>
        <w:t>, F</w:t>
      </w:r>
      <w:r w:rsidR="00105936">
        <w:rPr>
          <w:rFonts w:ascii="Times New Roman" w:eastAsia="Times New Roman" w:hAnsi="Times New Roman" w:cs="Times New Roman"/>
          <w:sz w:val="24"/>
          <w:szCs w:val="24"/>
        </w:rPr>
        <w:t>.A.</w:t>
      </w:r>
      <w:r w:rsidRPr="00A142F6">
        <w:rPr>
          <w:rFonts w:ascii="Times New Roman" w:eastAsia="Times New Roman" w:hAnsi="Times New Roman" w:cs="Times New Roman"/>
          <w:sz w:val="24"/>
          <w:szCs w:val="24"/>
        </w:rPr>
        <w:t>, H</w:t>
      </w:r>
      <w:r w:rsidR="00105936">
        <w:rPr>
          <w:rFonts w:ascii="Times New Roman" w:eastAsia="Times New Roman" w:hAnsi="Times New Roman" w:cs="Times New Roman"/>
          <w:sz w:val="24"/>
          <w:szCs w:val="24"/>
        </w:rPr>
        <w:t>.H.</w:t>
      </w:r>
      <w:r w:rsidRPr="00A142F6">
        <w:rPr>
          <w:rFonts w:ascii="Times New Roman" w:eastAsia="Times New Roman" w:hAnsi="Times New Roman" w:cs="Times New Roman"/>
          <w:sz w:val="24"/>
          <w:szCs w:val="24"/>
        </w:rPr>
        <w:t>, S</w:t>
      </w:r>
      <w:r w:rsidR="00105936">
        <w:rPr>
          <w:rFonts w:ascii="Times New Roman" w:eastAsia="Times New Roman" w:hAnsi="Times New Roman" w:cs="Times New Roman"/>
          <w:sz w:val="24"/>
          <w:szCs w:val="24"/>
        </w:rPr>
        <w:t>.Š.</w:t>
      </w:r>
      <w:r w:rsidRPr="00A142F6">
        <w:rPr>
          <w:rFonts w:ascii="Times New Roman" w:eastAsia="Times New Roman" w:hAnsi="Times New Roman" w:cs="Times New Roman"/>
          <w:sz w:val="24"/>
          <w:szCs w:val="24"/>
        </w:rPr>
        <w:t>, F</w:t>
      </w:r>
      <w:r w:rsidR="00105936">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N</w:t>
      </w:r>
      <w:r w:rsidR="00105936">
        <w:rPr>
          <w:rFonts w:ascii="Times New Roman" w:eastAsia="Times New Roman" w:hAnsi="Times New Roman" w:cs="Times New Roman"/>
          <w:sz w:val="24"/>
          <w:szCs w:val="24"/>
        </w:rPr>
        <w:t>.P.</w:t>
      </w:r>
      <w:r w:rsidRPr="00A142F6">
        <w:rPr>
          <w:rFonts w:ascii="Times New Roman" w:eastAsia="Times New Roman" w:hAnsi="Times New Roman" w:cs="Times New Roman"/>
          <w:sz w:val="24"/>
          <w:szCs w:val="24"/>
        </w:rPr>
        <w:t>, Š</w:t>
      </w:r>
      <w:r w:rsidR="00105936">
        <w:rPr>
          <w:rFonts w:ascii="Times New Roman" w:eastAsia="Times New Roman" w:hAnsi="Times New Roman" w:cs="Times New Roman"/>
          <w:sz w:val="24"/>
          <w:szCs w:val="24"/>
        </w:rPr>
        <w:t>.A.1</w:t>
      </w:r>
      <w:r w:rsidRPr="00A142F6">
        <w:rPr>
          <w:rFonts w:ascii="Times New Roman" w:eastAsia="Times New Roman" w:hAnsi="Times New Roman" w:cs="Times New Roman"/>
          <w:sz w:val="24"/>
          <w:szCs w:val="24"/>
        </w:rPr>
        <w:t xml:space="preserve"> i S</w:t>
      </w:r>
      <w:r w:rsidR="00105936">
        <w:rPr>
          <w:rFonts w:ascii="Times New Roman" w:eastAsia="Times New Roman" w:hAnsi="Times New Roman" w:cs="Times New Roman"/>
          <w:sz w:val="24"/>
          <w:szCs w:val="24"/>
        </w:rPr>
        <w:t>.A.</w:t>
      </w:r>
      <w:r w:rsidRPr="00A142F6">
        <w:rPr>
          <w:rFonts w:ascii="Times New Roman" w:eastAsia="Times New Roman" w:hAnsi="Times New Roman" w:cs="Times New Roman"/>
          <w:sz w:val="24"/>
          <w:szCs w:val="24"/>
        </w:rPr>
        <w:t xml:space="preserve"> i da oni ne znaju ni visinu pretrpljene štete, što je prvostepeni sud propustio utvrditi pa je, po stavu branitelja optuženog, činjenično stanje nepravilno i nepotpuno utvrđeno.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Ovi žalbeni navodi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pravilnost činjeničnih utvrđenja u pobijanoj presudi ne dovode u pitanje. Najprije, u žalbi branitelja se ne ukazuje koje konkretne činjenice nisu utvrđene ili su pogrešno utvrđene na kojima se temelji zaključak prvostepenog suda da su se u radnjama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stekla obilježja krivičnog djela za koje je optužen. Nadalje, branitelj optuženog zanemaruje činjenicu da su pobijanom presudom oštećeni sa imovinsko pravnim zahtjevom upućeni na parnični postupak upravo iz razloga što krivični spis ne sadrži  potrebne podatke da bi sud odlučivao o visini potraživanja oštećenih, pa će se u eventualno pokrenutim parničnim postupcima moći utvrditi i stvarna visina njihovih potraživanja.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više puta ponavlja u žalbi da je optuženi u situaciji nepostojanja dioničara od 2006. godine, a sam većinski vlasnik imovine društva sa 84%, što je više od ¾ dijela imovine društva, „bio u nuždi da spašava svoju imovinu i formira nadzorni odbor“, što je vidljivo iz odluke od 20.02.2009. godine, da je odluku donio legalno i zakonito sa članom nadzornog odbora M</w:t>
      </w:r>
      <w:r w:rsidR="00105936">
        <w:rPr>
          <w:rFonts w:ascii="Times New Roman" w:eastAsia="Times New Roman" w:hAnsi="Times New Roman" w:cs="Times New Roman"/>
          <w:sz w:val="24"/>
          <w:szCs w:val="24"/>
        </w:rPr>
        <w:t>.K.</w:t>
      </w:r>
      <w:r w:rsidRPr="00A142F6">
        <w:rPr>
          <w:rFonts w:ascii="Times New Roman" w:eastAsia="Times New Roman" w:hAnsi="Times New Roman" w:cs="Times New Roman"/>
          <w:sz w:val="24"/>
          <w:szCs w:val="24"/>
        </w:rPr>
        <w:t xml:space="preserve">, što je potkrijepljeno odredbama Statuta i zakona, a da su odluke nadzornog odbora legalne i zakonite ako su donesene glasovima od 2/3 članova nadzornog odbora, koju odluku je optuženi kao valjan pravni akt dao notaru koji je zakonito sačinio ugovor o kupoprodaji upravne zgrade a kasnije te odluke i nadzornog odbora i notara valjano prihvatio Općinski sud u Bugojnu i upravnu zgradu društva smatrao bračnom stečevinom. Odbrana optuženog smatra da navedeno ponašanje koje je javno nema elemenata zloupotrebe položaja.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Međutim, prvostepeni sud je na osnovu izvedenih dokaza utvrdio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bez održavanja sjednice nadzornog odbora društva i bez znanja članova nadzornog odbora donio i potpisao odluku od 20.02.2009. godine o prodaji upravne zgrade društva, da nema nikakvog pisanog traga o sazivanju nadzornog odbora niti da je o tome sačinjen bilo kakav zapisnik koji bi prethodio donošenju odluke ili da je to evidentirano u drugim pisanim evidenciajma društva, a da to ne proizilazi ni iz iskaza svjedoka H</w:t>
      </w:r>
      <w:r w:rsidR="00F313CC">
        <w:rPr>
          <w:rFonts w:ascii="Times New Roman" w:eastAsia="Times New Roman" w:hAnsi="Times New Roman" w:cs="Times New Roman"/>
          <w:sz w:val="24"/>
          <w:szCs w:val="24"/>
        </w:rPr>
        <w:t>.Ž.</w:t>
      </w:r>
      <w:r w:rsidRPr="00A142F6">
        <w:rPr>
          <w:rFonts w:ascii="Times New Roman" w:eastAsia="Times New Roman" w:hAnsi="Times New Roman" w:cs="Times New Roman"/>
          <w:sz w:val="24"/>
          <w:szCs w:val="24"/>
        </w:rPr>
        <w:t xml:space="preserve"> i M</w:t>
      </w:r>
      <w:r w:rsidR="00F313CC">
        <w:rPr>
          <w:rFonts w:ascii="Times New Roman" w:eastAsia="Times New Roman" w:hAnsi="Times New Roman" w:cs="Times New Roman"/>
          <w:sz w:val="24"/>
          <w:szCs w:val="24"/>
        </w:rPr>
        <w:t>.Č.</w:t>
      </w:r>
      <w:r w:rsidRPr="00A142F6">
        <w:rPr>
          <w:rFonts w:ascii="Times New Roman" w:eastAsia="Times New Roman" w:hAnsi="Times New Roman" w:cs="Times New Roman"/>
          <w:sz w:val="24"/>
          <w:szCs w:val="24"/>
        </w:rPr>
        <w:t xml:space="preserve"> koji su bili članovi nadzornog odbora društva i koji ne potvrđuju održavanje sjednice nadzornog odbora. Pored toga, prvostepeni sud je cijenio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naveo u svom iskazu da jedan od članova nadzornog odbora H</w:t>
      </w:r>
      <w:r w:rsidR="00F313CC">
        <w:rPr>
          <w:rFonts w:ascii="Times New Roman" w:eastAsia="Times New Roman" w:hAnsi="Times New Roman" w:cs="Times New Roman"/>
          <w:sz w:val="24"/>
          <w:szCs w:val="24"/>
        </w:rPr>
        <w:t>.Ž.</w:t>
      </w:r>
      <w:r w:rsidRPr="00A142F6">
        <w:rPr>
          <w:rFonts w:ascii="Times New Roman" w:eastAsia="Times New Roman" w:hAnsi="Times New Roman" w:cs="Times New Roman"/>
          <w:sz w:val="24"/>
          <w:szCs w:val="24"/>
        </w:rPr>
        <w:t xml:space="preserve"> nije imao razloga da bude u nadzornom odboru a da su on i </w:t>
      </w:r>
      <w:r w:rsidR="00F313CC">
        <w:rPr>
          <w:rFonts w:ascii="Times New Roman" w:eastAsia="Times New Roman" w:hAnsi="Times New Roman" w:cs="Times New Roman"/>
          <w:sz w:val="24"/>
          <w:szCs w:val="24"/>
        </w:rPr>
        <w:t>M.K.</w:t>
      </w:r>
      <w:r w:rsidRPr="00A142F6">
        <w:rPr>
          <w:rFonts w:ascii="Times New Roman" w:eastAsia="Times New Roman" w:hAnsi="Times New Roman" w:cs="Times New Roman"/>
          <w:sz w:val="24"/>
          <w:szCs w:val="24"/>
        </w:rPr>
        <w:t xml:space="preserve"> činili većinu. Dakle, ni iz iskaza optuženog ne proizilazi da je uopće sazvana sjednica nadzornog odbora koja bi prethodila donošenju osporavane odluke. Za takvo svoje utvrđenje prvostepeni sud je iznio određene razloge, a oni se ne osporavaju konkretnim kontra argumentima niti se žalba poziva na konkretne dokaze za potvrdu iznesenih navoda u žalbi, nego se samo iznosi paušalna tvrdnja da je takav zaključak prvostepenog suda pogrešan i da je optuženi pomenutu odluku donio legalno i zakonito sa članom nadzornog odbora M</w:t>
      </w:r>
      <w:r w:rsidR="00F313CC">
        <w:rPr>
          <w:rFonts w:ascii="Times New Roman" w:eastAsia="Times New Roman" w:hAnsi="Times New Roman" w:cs="Times New Roman"/>
          <w:sz w:val="24"/>
          <w:szCs w:val="24"/>
        </w:rPr>
        <w:t>.K.</w:t>
      </w:r>
      <w:r w:rsidRPr="00A142F6">
        <w:rPr>
          <w:rFonts w:ascii="Times New Roman" w:eastAsia="Times New Roman" w:hAnsi="Times New Roman" w:cs="Times New Roman"/>
          <w:sz w:val="24"/>
          <w:szCs w:val="24"/>
        </w:rPr>
        <w:t xml:space="preserve">.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Kako žalbom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nije dovedeno u pitanje utvrđenje prvostepenog suda da je ovaj optuženi pomenutu odluku donio samoinicijativno i bez održavanja sjednice nadzornog odbora društva, što je suprotno odredbama statuta na koje se </w:t>
      </w:r>
      <w:r w:rsidRPr="00A142F6">
        <w:rPr>
          <w:rFonts w:ascii="Times New Roman" w:eastAsia="Times New Roman" w:hAnsi="Times New Roman" w:cs="Times New Roman"/>
          <w:sz w:val="24"/>
          <w:szCs w:val="24"/>
        </w:rPr>
        <w:lastRenderedPageBreak/>
        <w:t>pozvao prvostepeni sud, na pravilnost utvrđenog činjeničnog stanja nije od uticaja to što tu odluku optuženi N</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kako se navodi u žalbi, kao valjan akt daje notaru koji zakonito sačinjava ugovor o kupoprodaji upravne zgrade a kasnije te odluke i notara i nadzornog odbora valjano prihvata Općinski sud u Bugojnu. Stoga se neosnovano u žalbi ističe da su navodi suda, posebno pravna analiza dokaza, iznijeti u obrazloženju presude pravno neodrživi i neutemeljeni. S tim u vezi, ni uopćeno pozivanje branitelja optuženog na odredbe Zakona o privrednim društvima kojima su propisane nadležnosti skupštine društva i nadzornog odbora, kao ni pozivanje na odredbe člana 98. tačka 1. i člana 112. tačka 7. Statuta društva nije osnovano, jer ni jedan izvedeni dokaz ne potvrđuje navode iz žalbe da je u skladu sa navedenim odredbama Statuta odluku broj: 02-13/2009 od 23.02.2009. godine donio nadzorni odbor društva većinom glasova, niti se u vezi sa tim žalba poziva  na određeni konkretan dokaz koji bi to potvrdio, osim što se istrajava na proizvoljnoj tvrdnji da je od strane optuženog postupljeno u skladu sa navedenim odredbama statuta društva.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Osim toga, za istaći je i činjenicu da se i u žalbi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iznose tvrdnje koje su kontradiktorne ranije navedenim žalbenim navodima. Tako se u žalbi navodi „ u takvoj situaciji kada je optuženi ostao sam u društvu a većinski vlasnik imovine iz koje su se povjerioci sudskih odluka prirodno naplaćivali, u konsultaciji sa stručnim pravnim licima je valjano i zakonito formirao nadzorni odbor društva i donio odluku o prodaji upravne zgrade društva da bi sebe i potraživanje svoje supruge bar djelimično namirio“.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Prvostepeni sud je u svojoj presudi (strana 7., pasus drugi) dao razloge zašto ne prihvata osnovanom tvrdnju odbrane optuženih da je prodaja upravne zgrade društva izvršena radi namirenja potraživanja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koji razlozi se žalbom branitelja optuženog N</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ne dovode u pitanje niti se žalba uopće bavi tim razlozima. Stoga se pravilnost pobijane presude ne može osporiti proizvoljnim ponavljanjem u žalbi da je predmetna odluka o prodaji upravne zgrade donesena sa ciljem da se namire potraživanja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kao i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koja su imali prema dioničarskom društvu „Rudina“.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Branitelj optuženog N</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u žalbi navodi da je sud morao utvrditi koju su štetu i u kojem iznosu pretrpjeli dioničari, da je došlo do smanjena broja dioničara jer su neki prodali svoje dionice, da ni jedan od dioničara nije mogao pouzdano kazati koliko dionica ima i njihovu vrijednost, a što je sud morao imati u vidu „kod pravne ocjene koristi i štete drugih, kao i nastanku štete drugima“ i da je zbog toga činjenično stanje ostalo neutvrđeno.</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Ovim žalbenim navodima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se ne dovodi  u pitanje pravilnost utvrđenog činjeničnog stanja na kome se temelji zaključak prvostepenog suda, da su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preduzetim krivičnim radnjama sebi pribavili imovinsku korist u stvarnoj vrijednosti objekta u iznosu od 68.680,76 KM, a istovremeno pričinili štetu privrednom društvu „Rudina“ d.d. Donji Vakuf u navedenom iznosu. Naime, prvostepeni sud je u pobijanoj presudi utvrdio, imajući u vidu nalaz i mišljenje vještaka građevinske struke, da je u trenutku prodaje, stvarna vrijednost upravne zgrade društva bila 68.680,76 KM, da je ugovorom o kupoprodaji, članom 3. utvrđen način plaćanja kupoprodajne cijene prema kojoj odredbi je kupoprodajnu cijenu trebalo uplatiti privrednom društvu, da ugovoreni novčani iznos nikada nije uplaćen privrednom društvu, a da je odluka od 23.02.2009. godine realizovana u korist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koji je u zemljišnim knjigama upisan kao vlasnik predmetne zgrade sa dijelom 1/1, a potom je po osnovu bračne stečevine pravo suvlasništva na toj zgradi sa dijelom ½ upisano na optužene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Z</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na osnovu pravosnažne presude Općinskog suda u Bugojnu, broj 46 0 P 04249/05 P 2 od 02.02.2015. godine. Ovaj sud nalazi </w:t>
      </w:r>
      <w:r w:rsidRPr="00A142F6">
        <w:rPr>
          <w:rFonts w:ascii="Times New Roman" w:eastAsia="Times New Roman" w:hAnsi="Times New Roman" w:cs="Times New Roman"/>
          <w:sz w:val="24"/>
          <w:szCs w:val="24"/>
        </w:rPr>
        <w:lastRenderedPageBreak/>
        <w:t xml:space="preserve">da takvo utvrđeno činjenično stanje nisu doveli u pitanje ranije izneseni navodi u žalbi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pa su ti navodi ocijenjeni kao neosnovani.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Na pravilnost utvrđenog činjeničnog stanja u pobijanoj posudi nisu od uticaja navodi u žalbi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da su mnogi dioničari društva prodali svoje dionice i da nisu bili zainteresovani za rad društva, da je svaki od njih prema odredbama statuta bio u obavezi da zna svoja prava, obaveze i dužnosti i da su imali pravo da se aktivno ponašaju prema društvu sve do stečajnog postupka. Činjenica da dioničari prema privrednom društvu nisu izvršavali svoje obaveze na koje žalba ukazuje, sama po sebi, ne upućuje na zaključak da je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imao zakonska ovlašćenja preduzimati radnje na način opisan u činjeničnom opisu krivičnog djela iz izreke pobijane presude za koje je oglašen krivim, a niti se branitelj optuženog u žalbi poziva na neki konkretan propis ili neku zakonsku odredbu u tom smislu. Stoga se tako uopštenim i paušalnim žalbenim navodima ni činjenični zaključci prvostepenog suda ne dovode u pitanje. </w:t>
      </w: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Branitelj optuženog N</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osporava odluku prvostepenog suda u dijelu kojim je izrečena mjera oduzimanja imovinske koristi ističući da se radi o njegovoj imovini a nikako imovini stečenoj krivičnim djelom, da je optuženi bio apsolutni vlasnik imovine privrednog društva „Rudina“, da donesenom odlukom nije radio ni protiv sebe ni protiv dioničara, da se dioničari tome nisu usprotivili i ne postoji nikakav pismeni trag o tome a bili su dužni da to urade prema odredbama statuta. Zbog navedenog, prema stavu branitelja optuženog, donošenjem navedene odluke povrijeđen je Krivični zakon a odluka je protivna i odredbama EKLJP.</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Međutim, ovaj sud je već ranije obrazložio zašto navodi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da se radi o imovini optuženog, da je on većinski vlasnik dioničarskog društva, da se dioničari nisu usprotivili donošenju odluke o prodaji upravne zgrade ne dovode u pitanje pravilnost pobijane presude. Osim toga, prvostepeni sud je dao razloge zašto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pored toga što je većinski vlasnik dioničarskog društva nije imao zakonskog uporišta raspolagati imovinom tog društva na način kako je to učinio, koji navodi žalbom branitelja optuženog nisu dovedeni u pitanje. Stoga ovaj sud nalazi da je prvostepeni sud, nakon što je utvrdio da su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preduzetim radnjama učinili krivično djelo Zloupotreba položaja ili ovlašćenja iz člana 383. stav 3., u vezi sa stavom 1. KZ F BiH i da su tim preduzetim radnjama sebi pribavili imovinsku korist, odnosno privrednom društvu pričinili štetu, pravilno odlučio kada je u pobijanoj presudi donio odluku o oduzimanju imovinske koristi pribavljene krivičnim djelom, pa se neosnovanim ukazuju žalbeni navodi da je donošenjem navedene odluke povrijeđen Krivični zakon i da je takva odluka protivna odredbama EKLJP.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Osporavajući prvostepenu presudu zbog pogrešno ili nepotpuno utvrđenog činjeničnog stanja 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 žalbi najprije ukazuje na mnogobrojne odluke općinskih sudova (presude, rješenja, zaključke), pojedinačno navedene po broju i datumu na stranama 2. i 3. žalbe, iz kojih proizilazi da su određene osobe protiv privrednog društva „Rudina“ d.d. Donji Vakuf vodile postupke radi utvrđivanja i naplate svojih potraživanja, pa smatra da iz tih dokaza proizilazi obaveza suda da u jednakopravnom postupanju prema optuženoj Z</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u ostvarivanju njenih prava utvrđenih pravomoćnom i izvršnom presudom, kao i prema drugim tražiteljima izvršenja. S tim u vezi braniteljica optužene postavlja pitanje zašto bi izvršenje pravomoćne i izvršne sudske presude u odnosu na optuženu Z</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predstavljalo krivično djelo iz člana 383. stav 3. ZKP FBiH, a da u odnosu na tražitelje izvršenja Š</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i A</w:t>
      </w:r>
      <w:r w:rsidR="00E7763D">
        <w:rPr>
          <w:rFonts w:ascii="Times New Roman" w:eastAsia="Times New Roman" w:hAnsi="Times New Roman" w:cs="Times New Roman"/>
          <w:sz w:val="24"/>
          <w:szCs w:val="24"/>
        </w:rPr>
        <w:t>.N.</w:t>
      </w:r>
      <w:r w:rsidRPr="00A142F6">
        <w:rPr>
          <w:rFonts w:ascii="Times New Roman" w:eastAsia="Times New Roman" w:hAnsi="Times New Roman" w:cs="Times New Roman"/>
          <w:sz w:val="24"/>
          <w:szCs w:val="24"/>
        </w:rPr>
        <w:t xml:space="preserve"> ne predstavlja navedeno krivično djelo iako se radi o istovrsnim sudskim odlukama po istom pravnom osnovu i protiv istog izvršenika.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Ovi žalbeni navodi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su neosnovani.</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Prvostepeni sud je u obrazloženju svoje presude (strana 6., posljednja dva pasusa i strana 7., prva tri pasusa), pozivajući se na konkretne dokaze dao određene razloge  za svoj zaključak da prodaja zgrade privrednog društva nije izvršena radi namirenja potraživanja koje je optužena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imala prema privrednom društvu „Rudina“ d.d. Donji Vakuf na ime neisplaćenih plaća, koji razlozi se konkretnim navodima u žalbi ne dovode u pitanje. Pri tome je prvostepeni sud, prije svega, imao u vidu da u odluci o prodaji zgrade donesenoj od strane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nije bila naznačena svrha prodaje, da je zgrada prodata optuženom N</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dakle ne optuženoj Z</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te da kupoprodajna cijena nije ni djelimično isplaćena privrednom društvu. Obzirom na takvo utvrđenje prvostepenog suda, bez uticaja su na pravilnost pobijane presude žalbeni navodi braniteljice optužene da izvršenje pravosnažne i izvršne presude na ime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ne predstavlja krivično djelo i da se radi o istovrsnim odlukama kao i za druge tražitelje izvršenja na koje se ukazuje žalbom, jer u konkretnom slučaju upravna zgrada privrednog društva nije prodata u postupku izvršenja pravosnažne presude i namirenja potraživanja ove optužene. Pored toga, braniteljica optužene se, osim iznošenja svog subjektivnog stava da se u konkretnom slučaju radilo o izvršenju pravosnažne sudske presude i da se radilo o istovrsnim sudskim odlukama po istom pravnom osnovu kao i kod drugih tražitelja izvršenja, ne poziva ni na kakve konkretne dokaze za potvrdu tih žalbenih navoda, pa su ovi navodi i paušalnog karaktera.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Pravilnost pobijane presude neosnovano se osporava navodima braniteljice optužene Z</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da prvostepeni sud nije utvrdio da su rješenjem Općinskog suda u Travniku broj 51 0 St 031847 10 St od 08.12.2010. godine (stečajni postupak objavljen u Službenim Novinama F BiH, broj: 88/2010) sva zainteresovana lica u roku od 15 dana mogla da prijave svoja potraživanja, da su sva zainteresovana lica obaviještena o tome u printanim i elektronskim medijima, da prvostepeni sud nije utvrdio da je privredno društvo „Rudina“ d.d. Donji Vakuf prestalo postojati sa danom 31.01.2011. godine, te da iz rješenja Općinskog suda u Travniku broj 51 0 St 031847 10 St od 31.01.2011. godine proizilazi da privredno društvo ima još uvijek nepokretnosti čiju je vrijednost trebalo utvrditi u ovom postupku iz koje bi se mogla nadoknaditi šteta dioničarima. Naime, iz razloga datih u pobijanoj presudi proizilazi da je prvostepeni sud imao u vidu da je nad privrednim društvom „Rudina“ d.d. Donji Vakuf otvoren stečajni postupak i da je to privredno društvo prestalo postojati, prema ranije navedenim rješenjima na koja se braniteljica optužene poziva u žalbi. Međutim, braniteljica u žalbi ne iznosi konkretnu argumentaciju od kakvog je to značaja na utvrđenje odlučnih činjenica, da su optuženi prije nego što je privredno društvo prestalo sa radom, na način opisan u izreci presude preduzeli konkretne krivičnopravne radnje kojima su ostvarili obilježja krivičnog djela za koje su pobijanom presudom oglašeni krivim. S toga ni to što privredno društvo ima još imovine iz koje bi se, kako se navodi u žalbi, mogla nadoknaditi šteta dioničarima, nije od uticaja na pravilnost činjeničnog utvrđenja prvostepenog suda, jer ta okolnost, sama po sebi, ne upućuje na zaključak da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nisu postupali suprotno odredbama statuta i suprotno odredbama Zakona o privrednim društvima prilikom prodaje nekretnine-upravne zgrade izgrađene na k.č. 6/145 KO SP D</w:t>
      </w:r>
      <w:r w:rsidR="00E7763D">
        <w:rPr>
          <w:rFonts w:ascii="Times New Roman" w:eastAsia="Times New Roman" w:hAnsi="Times New Roman" w:cs="Times New Roman"/>
          <w:sz w:val="24"/>
          <w:szCs w:val="24"/>
        </w:rPr>
        <w:t>.V.</w:t>
      </w:r>
      <w:r w:rsidRPr="00A142F6">
        <w:rPr>
          <w:rFonts w:ascii="Times New Roman" w:eastAsia="Times New Roman" w:hAnsi="Times New Roman" w:cs="Times New Roman"/>
          <w:sz w:val="24"/>
          <w:szCs w:val="24"/>
        </w:rPr>
        <w:t>, zk. ul. broj: 2151 optuženom N</w:t>
      </w:r>
      <w:r w:rsidR="00E7763D">
        <w:rPr>
          <w:rFonts w:ascii="Times New Roman" w:eastAsia="Times New Roman" w:hAnsi="Times New Roman" w:cs="Times New Roman"/>
          <w:sz w:val="24"/>
          <w:szCs w:val="24"/>
        </w:rPr>
        <w:t>.B.</w:t>
      </w:r>
      <w:r w:rsidRPr="00A142F6">
        <w:rPr>
          <w:rFonts w:ascii="Times New Roman" w:eastAsia="Times New Roman" w:hAnsi="Times New Roman" w:cs="Times New Roman"/>
          <w:sz w:val="24"/>
          <w:szCs w:val="24"/>
        </w:rPr>
        <w:t xml:space="preserve">.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Navodi u žalbi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da se nije mogla formirati skupština društva kao i navodi kojima se ukazuje na način rada skupštine društva, zatim da društvo nije u državnom vlasništvu, da je optužena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imala potraživanja prema privrednom društvu utvrđeno pravosnažnom presudom ne dovode u pitanje pravilnost pobijane presude iz istih </w:t>
      </w:r>
      <w:r w:rsidRPr="00A142F6">
        <w:rPr>
          <w:rFonts w:ascii="Times New Roman" w:eastAsia="Times New Roman" w:hAnsi="Times New Roman" w:cs="Times New Roman"/>
          <w:sz w:val="24"/>
          <w:szCs w:val="24"/>
        </w:rPr>
        <w:lastRenderedPageBreak/>
        <w:t xml:space="preserve">naprijed navedenih razloga. Osim toga, ni žalba braniteljice optužene ne sadrži konkretne razloge od kakvog su značaja naprijed iznesene okolnosti za odlučivanje u konkretnom predmetu.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Prema tome, ovaj sud nalazi da se žalbama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prvostepena presuda neosnovano pobija zbog pogrešno i nepotpuno utvrđenog činjeničnog stanja.</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 žalbi ukazuje na izreku pobijane presude u dijelu kojim je prvostepeni sud odlučio da se od optuženih oduzima imovinska korist stečena krivičnim djelom u iznosu od 68.680,76 KM, te ističe da se prvostepeni sud pozvao na odredbu člana 383. stav 4. ZKP FBiH i odredbu člana 11. stav 1. tačke a) b) i c) Zakona o oduzimanju nezakonito stečene imovine krivičnim djelom, a kako se odredba člana 383. ZKP FBiH odnosi na način postupanja sudije za maloljetnike, braniteljica optužene smatra da je odluka o oduzimanju nezakonito stečene imovine temeljena na odredbi člana 383. ZKP FBiH „očito neosnovana, što pobijanu presudu čini nerazumljivom“.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Najprije, u izreci pobijane presude je jasno i određeno navedeno da se od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oduzima imovinska korist pribavljena krivičnim djelom u tačno određenom iznosu, koji novac postaje imovina Federacije BiH, pa kod takvog stanja u spisu ne može se prihvatiti osnovanom tvrdnja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da se radi o nerazumljivoj presudi samo zato što se prvostepeni sud pozvao na zakonske odredbe na koje se ukazuje žalbom. Međutim, osnovano se u žalbi tvrdi da odredbom člana 383. stav 4. ZKP FBiH, na koju se pozvao prvostepeni sud, nije propisana obaveza oduzimanje imovinske koristi pribavljene krivičnim djelom, obzirom da su uvjeti za oduzimanje imovinske koristi pribavljene krivičnim djelom propisani odredbama KZ FBiH. Tako je odredbom člana 114. stav 1. KZ FBiH propisano da niko ne može zadržati imovinsku korist pribavljenu krivičnim djelom, a odredbom stava 2. istog člana navedenog zakona je propisano da će se takva korist oduzeti sudskom odlukom kojom je utvrđeno da je krivično djelo učinjeno i pod uvjetima propisanim ovim zakonom. U članu 115. stav 1. KZ FBiH je propisano da će se učinitelju oduzeti novac, predmeti od vrijednosti i svaka druga imovinska korist koja je pribavljena krivičnim djelom, a ako oduzimanje nije moguće učinitelj će se obavezati na isplatu novčanog iznos srazmjerno pribavljenoj imovinskoj koristi. Dakle, navedene zakonske odredbe predstavljaju osnov sudu za odlučivanje o mjeri oduzimanja imovinske koristi koja je pribavljena krivičnim djelom. Također i Zakonom o oduzimanju nezakonito stečene imovine krivičnim djelom (član 10. i član 11.) je propisan postupak postupanja suda u redovnom postupku za oduzimanje imovinske korist.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ind w:firstLine="720"/>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Dakle, iz naprijed navedenih zakonskih odredaba proizilazi da se mjera oduzimanja imovinske koristi može izreći kada sud utvrdi da je izvršenjem krivičnog djela ta korist pribavljena. Prvostepeni sud je pobijanom presudom utvrdio da su optuženi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poduzetim krivičnopravnim radnjama učinili krivično djelo iz člana 383. stav 3., u vezi sa stavom 1. KZ FBiH i da su učinjenjem tog krivičnog djela pribavili imovinsku korist u iznosu od 68.680,76 KM, nalazeći utvrđenim da su optuženi navedeni iznos pribavljene imovinske koristi stekli na jednake dijelove sa po ½, te je optužene izrekom pobijane presude obavezao da navedeni iznos solidarno uplate na račun budžeta Federacije BiH. Po ocjeni ovog suda, prvostepeni sud je takvom odlukom učinio povredu Krivičnog zakona iz člana 313. tačka e) ZKP FBiH na štetu optuženih, budući da u smislu ranije citiranih zakonskih odredbi, niko ne može zadržati imovinsku korist pribavljenu krivičnim djelom i da se od učinitelja može oduzeti samo ona imovinska korist koja je pribavljena krivičnim djelom. Obzirom na </w:t>
      </w:r>
      <w:r w:rsidRPr="00A142F6">
        <w:rPr>
          <w:rFonts w:ascii="Times New Roman" w:eastAsia="Times New Roman" w:hAnsi="Times New Roman" w:cs="Times New Roman"/>
          <w:sz w:val="24"/>
          <w:szCs w:val="24"/>
        </w:rPr>
        <w:lastRenderedPageBreak/>
        <w:t>utvrđenje prvostepenog suda da su optuženi pribavili imovinsku korist u iznosu od 68.680,76 KM sa jednakim dijelovima po ½, onda ta pribavljena imovinska korist učinjenjem krivičnog djela za svakog optuženog iznosi od po 34.340,38 KM, pa se optuženi nisu mogli ni solidarno obavezati na plaćanje ukupnog iznosa pribavljene imovinske koristi. Iz navedenih razloga je ovaj sud, povodom žalbi branitelja optuženih, a na osnovu člana 321. ZKP FBiH po službenoj dužnosti preinačio pobijanu presudu o mjeri oduzimanja imovinske koristi pribavljene krivičnim djelom, na način kako je to navedeno izreci ove presude.</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Iako su branitelji optuženih u svojim žalbama, u uvodnom dijelu, naveli da se prvostepena presuda pobija i zbog odluke o krivičnopravnoj sankciji, obrazloženja u žalbama branitelja optuženih ne sadrže navode koji bi se odnosili na pomenuti žalbeni osnov. Kako se žalbama branitelja optuženih prvostepena presuda pobija i zbog pogrešno ili nepotpuno utvrđenog činjeničnog stanja ovaj sud je, na osnovu člana 323. ZKP FBiH ispitao i odluku o krivičnopravnoj sankciji. Imajući u vidu sve okolnosti koje je na strani optuženih cijenio prvostepeni sud, po ocjeni ovog suda, izrečena kazna zatvora optuženim od po 1 (jedne) godine je srazmjerna težini učinjenog krivičnog djela i stepenu krivnje optuženih, te potrebna i dovoljna za ostvarivanje svrhe kažnjavanja.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Žalbama branitelja optuženih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i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se osporava i odluka o troškovima postupka. U vezi sa tim branitelj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u žalbi ističe da optuženi treba da plati troškove braniocima po službenoj dužnosti što predstavlja povredu EKLJP vezano za pravično suđenje u krivičnom postupku, jer sud do danas braniocima po službenoj dužnosti nije isplatio ni jednu tranšu za zastupanje što se vidi iz spisa predmeta, pa je i na taj način povrijedio odredbe ZKP-a koje se odnose na plaćanje troškova postupka za rad branioca po službenoj dužnosti. I braniteljica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u žalbi ukazuje da braniteljici po službenoj dužnosti nisu isplaćeni troškovi postupka, da je braniteljica više puta prvostepenom sudu podnosila molbu za isplatu troškova što nije učinjeno ni nakon donošenja pobijane presude pa je, kako se navodi u žalbi, očito da je prvostepeni sud povrijedio odredbe člana 199. do 206. ZKP FBiH.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Međutim, iz izreke pobijane presude proizilazi da je tom presudom prvostepeni sud, u skladu sa članom 200. stav 1. ZKP FBiH, odlučio o troškovima koje su dužni snositi optuženi, čija visina će biti naknadno utvrđena posebni rješenjem, što se iznesenim navodima u žalbi ne dovodi u pitanje. S toga se takva odluka prvostepenog suda ne može dovesti u pitanje time što braniteljima optuženih nisu isplaćeni troškovi, budući da će konačnu odluku o troškovima krivičnog postupka optuženih, pa i o troškovima branitelja optuženih donijeti prvostepeni sud.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ab/>
        <w:t xml:space="preserve">Iz naprijed navedenih razloga ovaj sud je odbio žalbu branitelja optuženog </w:t>
      </w:r>
      <w:r w:rsidR="0021546D">
        <w:rPr>
          <w:rFonts w:ascii="Times New Roman" w:eastAsia="Times New Roman" w:hAnsi="Times New Roman" w:cs="Times New Roman"/>
          <w:sz w:val="24"/>
          <w:szCs w:val="24"/>
        </w:rPr>
        <w:t>N.B.</w:t>
      </w:r>
      <w:r w:rsidRPr="00A142F6">
        <w:rPr>
          <w:rFonts w:ascii="Times New Roman" w:eastAsia="Times New Roman" w:hAnsi="Times New Roman" w:cs="Times New Roman"/>
          <w:sz w:val="24"/>
          <w:szCs w:val="24"/>
        </w:rPr>
        <w:t xml:space="preserve"> kao neosnovanu, a na osnovu člana 329. ZKP FBiH, djelimičnim uvažavanjem žalbe braniteljice optužene </w:t>
      </w:r>
      <w:r w:rsidR="0021546D">
        <w:rPr>
          <w:rFonts w:ascii="Times New Roman" w:eastAsia="Times New Roman" w:hAnsi="Times New Roman" w:cs="Times New Roman"/>
          <w:sz w:val="24"/>
          <w:szCs w:val="24"/>
        </w:rPr>
        <w:t>Z.B.</w:t>
      </w:r>
      <w:r w:rsidRPr="00A142F6">
        <w:rPr>
          <w:rFonts w:ascii="Times New Roman" w:eastAsia="Times New Roman" w:hAnsi="Times New Roman" w:cs="Times New Roman"/>
          <w:sz w:val="24"/>
          <w:szCs w:val="24"/>
        </w:rPr>
        <w:t xml:space="preserve"> prvostepenu presudu preinačio u odluci o oduzimanju imovinske koristi stečene krivičnim djelom, dok je u ostalom dijelu prvostepena presuda potvrđena. </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bCs/>
          <w:sz w:val="24"/>
          <w:szCs w:val="24"/>
        </w:rPr>
      </w:pPr>
    </w:p>
    <w:p w:rsidR="00A142F6" w:rsidRPr="00A142F6" w:rsidRDefault="00A142F6" w:rsidP="00A142F6">
      <w:pPr>
        <w:spacing w:after="0" w:line="240" w:lineRule="auto"/>
        <w:jc w:val="both"/>
        <w:rPr>
          <w:rFonts w:ascii="Times New Roman" w:eastAsia="Times New Roman" w:hAnsi="Times New Roman" w:cs="Times New Roman"/>
          <w:bCs/>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Zapisničar                                                                                Predsjednik vijeća  </w:t>
      </w: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Živana Roić,s.r.</w:t>
      </w:r>
      <w:r w:rsidRPr="00A142F6">
        <w:rPr>
          <w:rFonts w:ascii="Times New Roman" w:eastAsia="Times New Roman" w:hAnsi="Times New Roman" w:cs="Times New Roman"/>
          <w:sz w:val="24"/>
          <w:szCs w:val="24"/>
        </w:rPr>
        <w:tab/>
      </w:r>
      <w:r w:rsidRPr="00A142F6">
        <w:rPr>
          <w:rFonts w:ascii="Times New Roman" w:eastAsia="Times New Roman" w:hAnsi="Times New Roman" w:cs="Times New Roman"/>
          <w:sz w:val="24"/>
          <w:szCs w:val="24"/>
        </w:rPr>
        <w:tab/>
      </w:r>
      <w:r w:rsidRPr="00A142F6">
        <w:rPr>
          <w:rFonts w:ascii="Times New Roman" w:eastAsia="Times New Roman" w:hAnsi="Times New Roman" w:cs="Times New Roman"/>
          <w:sz w:val="24"/>
          <w:szCs w:val="24"/>
        </w:rPr>
        <w:tab/>
        <w:t xml:space="preserve">                                                 Slavko Marić,s.r.</w:t>
      </w: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p>
    <w:p w:rsidR="00A142F6" w:rsidRPr="00A142F6" w:rsidRDefault="00A142F6" w:rsidP="00A142F6">
      <w:pPr>
        <w:spacing w:after="0" w:line="240" w:lineRule="auto"/>
        <w:jc w:val="both"/>
        <w:rPr>
          <w:rFonts w:ascii="Times New Roman" w:eastAsia="Times New Roman" w:hAnsi="Times New Roman" w:cs="Times New Roman"/>
          <w:sz w:val="24"/>
          <w:szCs w:val="24"/>
        </w:rPr>
      </w:pPr>
      <w:r w:rsidRPr="00A142F6">
        <w:rPr>
          <w:rFonts w:ascii="Times New Roman" w:eastAsia="Times New Roman" w:hAnsi="Times New Roman" w:cs="Times New Roman"/>
          <w:sz w:val="24"/>
          <w:szCs w:val="24"/>
        </w:rPr>
        <w:t xml:space="preserve">  </w:t>
      </w:r>
    </w:p>
    <w:p w:rsidR="003768FE" w:rsidRDefault="003768FE"/>
    <w:sectPr w:rsidR="003768FE" w:rsidSect="00105936">
      <w:headerReference w:type="even" r:id="rId6"/>
      <w:headerReference w:type="default" r:id="rId7"/>
      <w:footerReference w:type="default" r:id="rId8"/>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5936" w:rsidRDefault="00105936" w:rsidP="00086E47">
      <w:pPr>
        <w:spacing w:after="0" w:line="240" w:lineRule="auto"/>
      </w:pPr>
      <w:r>
        <w:separator/>
      </w:r>
    </w:p>
  </w:endnote>
  <w:endnote w:type="continuationSeparator" w:id="0">
    <w:p w:rsidR="00105936" w:rsidRDefault="00105936" w:rsidP="00086E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936" w:rsidRDefault="00105936">
    <w:pPr>
      <w:pStyle w:val="Footer"/>
      <w:jc w:val="right"/>
    </w:pPr>
    <w:fldSimple w:instr=" PAGE   \* MERGEFORMAT ">
      <w:r w:rsidR="00E7763D">
        <w:rPr>
          <w:noProof/>
        </w:rPr>
        <w:t>13</w:t>
      </w:r>
    </w:fldSimple>
  </w:p>
  <w:p w:rsidR="00105936" w:rsidRDefault="001059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5936" w:rsidRDefault="00105936" w:rsidP="00086E47">
      <w:pPr>
        <w:spacing w:after="0" w:line="240" w:lineRule="auto"/>
      </w:pPr>
      <w:r>
        <w:separator/>
      </w:r>
    </w:p>
  </w:footnote>
  <w:footnote w:type="continuationSeparator" w:id="0">
    <w:p w:rsidR="00105936" w:rsidRDefault="00105936" w:rsidP="00086E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936" w:rsidRDefault="0010593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936" w:rsidRDefault="0010593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936" w:rsidRDefault="00105936">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142F6"/>
    <w:rsid w:val="00086E47"/>
    <w:rsid w:val="00105936"/>
    <w:rsid w:val="0021546D"/>
    <w:rsid w:val="003768FE"/>
    <w:rsid w:val="00A142F6"/>
    <w:rsid w:val="00E7763D"/>
    <w:rsid w:val="00F313CC"/>
  </w:rsids>
  <m:mathPr>
    <m:mathFont m:val="Cambria Math"/>
    <m:brkBin m:val="before"/>
    <m:brkBinSub m:val="--"/>
    <m:smallFrac m:val="off"/>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E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142F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42F6"/>
  </w:style>
  <w:style w:type="paragraph" w:styleId="Footer">
    <w:name w:val="footer"/>
    <w:basedOn w:val="Normal"/>
    <w:link w:val="FooterChar"/>
    <w:uiPriority w:val="99"/>
    <w:semiHidden/>
    <w:unhideWhenUsed/>
    <w:rsid w:val="00A142F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142F6"/>
  </w:style>
  <w:style w:type="character" w:styleId="PageNumber">
    <w:name w:val="page number"/>
    <w:basedOn w:val="DefaultParagraphFont"/>
    <w:rsid w:val="00A142F6"/>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13</Pages>
  <Words>6588</Words>
  <Characters>37553</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44053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Lana Sahman</dc:creator>
  <cp:keywords/>
  <dc:description/>
  <cp:lastModifiedBy>PC</cp:lastModifiedBy>
  <cp:revision>2</cp:revision>
  <dcterms:created xsi:type="dcterms:W3CDTF">2023-02-20T14:06:00Z</dcterms:created>
  <dcterms:modified xsi:type="dcterms:W3CDTF">2023-03-15T17:15:00Z</dcterms:modified>
</cp:coreProperties>
</file>