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752" w:rsidRPr="000102EC" w:rsidRDefault="00FF6752" w:rsidP="006F5EEC">
      <w:pPr>
        <w:rPr>
          <w:sz w:val="24"/>
          <w:szCs w:val="24"/>
          <w:lang w:val="bs-Latn-BA" w:eastAsia="en-US"/>
        </w:rPr>
      </w:pPr>
      <w:bookmarkStart w:id="0" w:name="_GoBack"/>
      <w:bookmarkEnd w:id="0"/>
      <w:r w:rsidRPr="000102EC">
        <w:rPr>
          <w:sz w:val="24"/>
          <w:szCs w:val="24"/>
          <w:lang w:val="bs-Latn-BA"/>
        </w:rPr>
        <w:t>BOSNA I HERCEGOVINA</w:t>
      </w:r>
    </w:p>
    <w:p w:rsidR="00FF6752" w:rsidRPr="000102EC" w:rsidRDefault="00FF6752" w:rsidP="006F5EEC">
      <w:pPr>
        <w:rPr>
          <w:noProof/>
          <w:sz w:val="24"/>
          <w:szCs w:val="24"/>
          <w:lang w:val="bs-Latn-BA"/>
        </w:rPr>
      </w:pPr>
      <w:r w:rsidRPr="000102EC">
        <w:rPr>
          <w:sz w:val="24"/>
          <w:szCs w:val="24"/>
          <w:lang w:val="bs-Latn-BA"/>
        </w:rPr>
        <w:t>FEDERACIJA BOSNE I HERCEGOVINE</w:t>
      </w:r>
    </w:p>
    <w:p w:rsidR="00FF6752" w:rsidRPr="000102EC" w:rsidRDefault="00FF6752" w:rsidP="006F5EEC">
      <w:pPr>
        <w:rPr>
          <w:sz w:val="24"/>
          <w:szCs w:val="24"/>
          <w:lang w:val="bs-Latn-BA" w:eastAsia="en-US"/>
        </w:rPr>
      </w:pPr>
      <w:r w:rsidRPr="000102EC">
        <w:rPr>
          <w:sz w:val="24"/>
          <w:szCs w:val="24"/>
          <w:lang w:val="bs-Latn-BA"/>
        </w:rPr>
        <w:t>VRHOVNI SUD</w:t>
      </w:r>
    </w:p>
    <w:p w:rsidR="00FF6752" w:rsidRPr="000102EC" w:rsidRDefault="00FF6752" w:rsidP="006F5EEC">
      <w:pPr>
        <w:rPr>
          <w:noProof/>
          <w:sz w:val="24"/>
          <w:szCs w:val="24"/>
          <w:lang w:val="bs-Latn-BA"/>
        </w:rPr>
      </w:pPr>
      <w:r w:rsidRPr="000102EC">
        <w:rPr>
          <w:sz w:val="24"/>
          <w:szCs w:val="24"/>
          <w:lang w:val="bs-Latn-BA"/>
        </w:rPr>
        <w:t>FEDERACIJE BOSNE I HERCEGOVINE</w:t>
      </w:r>
    </w:p>
    <w:p w:rsidR="00FF6752" w:rsidRPr="000102EC" w:rsidRDefault="00FF6752" w:rsidP="006F5EEC">
      <w:pPr>
        <w:rPr>
          <w:sz w:val="24"/>
          <w:szCs w:val="24"/>
          <w:lang w:val="bs-Latn-BA" w:eastAsia="en-US"/>
        </w:rPr>
      </w:pPr>
      <w:r w:rsidRPr="000102EC">
        <w:rPr>
          <w:sz w:val="24"/>
          <w:szCs w:val="24"/>
          <w:lang w:val="bs-Latn-BA"/>
        </w:rPr>
        <w:t>Broj:  09 0 U 031278 18 Uvp</w:t>
      </w:r>
    </w:p>
    <w:p w:rsidR="00FF6752" w:rsidRPr="000102EC" w:rsidRDefault="00FF6752" w:rsidP="006F5EEC">
      <w:pPr>
        <w:rPr>
          <w:sz w:val="24"/>
          <w:szCs w:val="24"/>
          <w:lang w:val="bs-Latn-BA"/>
        </w:rPr>
      </w:pPr>
      <w:r w:rsidRPr="000102EC">
        <w:rPr>
          <w:sz w:val="24"/>
          <w:szCs w:val="24"/>
          <w:lang w:val="bs-Latn-BA"/>
        </w:rPr>
        <w:t>Sarajevo, 13.05.2021. godine</w:t>
      </w:r>
    </w:p>
    <w:p w:rsidR="00FF6752" w:rsidRPr="000102EC" w:rsidRDefault="00FF6752" w:rsidP="00FF6752">
      <w:pPr>
        <w:jc w:val="both"/>
        <w:rPr>
          <w:sz w:val="24"/>
          <w:szCs w:val="24"/>
          <w:lang w:val="bs-Latn-BA"/>
        </w:rPr>
      </w:pPr>
    </w:p>
    <w:p w:rsidR="00FF6752" w:rsidRPr="000102EC" w:rsidRDefault="00FF6752" w:rsidP="00FF6752">
      <w:pPr>
        <w:jc w:val="both"/>
        <w:rPr>
          <w:sz w:val="24"/>
          <w:szCs w:val="24"/>
          <w:lang w:val="bs-Latn-BA" w:eastAsia="en-US"/>
        </w:rPr>
      </w:pPr>
    </w:p>
    <w:p w:rsidR="00FF6752" w:rsidRPr="000102EC" w:rsidRDefault="00FF6752" w:rsidP="00FF6752">
      <w:pPr>
        <w:jc w:val="both"/>
        <w:rPr>
          <w:sz w:val="24"/>
          <w:szCs w:val="24"/>
          <w:lang w:val="bs-Latn-BA"/>
        </w:rPr>
      </w:pPr>
      <w:r w:rsidRPr="000102EC">
        <w:rPr>
          <w:sz w:val="24"/>
          <w:szCs w:val="24"/>
          <w:lang w:val="bs-Latn-BA"/>
        </w:rPr>
        <w:t xml:space="preserve">Vrhovni sud Federacije Bosne i Hercegovine u Sarajevu u vijeću za upravne sporove sastavljenom od sudija Branke Schorr, kao predsjednice vijeća, Svjetlane Milišić-Veličkovski i Josipa Vukovića, kao članova vijeća, te Namire Beganović, kao zapisničara, </w:t>
      </w:r>
      <w:r w:rsidRPr="000102EC">
        <w:rPr>
          <w:iCs/>
          <w:sz w:val="24"/>
          <w:szCs w:val="24"/>
          <w:lang w:val="bs-Latn-BA"/>
        </w:rPr>
        <w:t xml:space="preserve">u upravnom sporu tužitelja </w:t>
      </w:r>
      <w:r w:rsidR="006F5EEC">
        <w:rPr>
          <w:iCs/>
          <w:sz w:val="24"/>
          <w:szCs w:val="24"/>
          <w:lang w:val="bs-Latn-BA"/>
        </w:rPr>
        <w:t>Đ. M.</w:t>
      </w:r>
      <w:r w:rsidRPr="000102EC">
        <w:rPr>
          <w:iCs/>
          <w:sz w:val="24"/>
          <w:szCs w:val="24"/>
          <w:lang w:val="bs-Latn-BA"/>
        </w:rPr>
        <w:t xml:space="preserve">, </w:t>
      </w:r>
      <w:r w:rsidR="006F5EEC">
        <w:rPr>
          <w:iCs/>
          <w:sz w:val="24"/>
          <w:szCs w:val="24"/>
          <w:lang w:val="bs-Latn-BA"/>
        </w:rPr>
        <w:t xml:space="preserve">D. P. </w:t>
      </w:r>
      <w:r w:rsidRPr="000102EC">
        <w:rPr>
          <w:iCs/>
          <w:sz w:val="24"/>
          <w:szCs w:val="24"/>
          <w:lang w:val="bs-Latn-BA"/>
        </w:rPr>
        <w:t xml:space="preserve">i </w:t>
      </w:r>
      <w:r w:rsidR="006F5EEC">
        <w:rPr>
          <w:iCs/>
          <w:sz w:val="24"/>
          <w:szCs w:val="24"/>
          <w:lang w:val="bs-Latn-BA"/>
        </w:rPr>
        <w:t>I. T.</w:t>
      </w:r>
      <w:r w:rsidRPr="000102EC">
        <w:rPr>
          <w:iCs/>
          <w:sz w:val="24"/>
          <w:szCs w:val="24"/>
          <w:lang w:val="bs-Latn-BA"/>
        </w:rPr>
        <w:t xml:space="preserve">, notara iz </w:t>
      </w:r>
      <w:r w:rsidR="006F5EEC">
        <w:rPr>
          <w:iCs/>
          <w:sz w:val="24"/>
          <w:szCs w:val="24"/>
          <w:lang w:val="bs-Latn-BA"/>
        </w:rPr>
        <w:t>S.</w:t>
      </w:r>
      <w:r w:rsidRPr="000102EC">
        <w:rPr>
          <w:iCs/>
          <w:sz w:val="24"/>
          <w:szCs w:val="24"/>
          <w:lang w:val="bs-Latn-BA"/>
        </w:rPr>
        <w:t>, koje zastupa punomoćnik Semir Puzić, advokat iz Sarajeva, protiv akta b</w:t>
      </w:r>
      <w:r>
        <w:rPr>
          <w:iCs/>
          <w:sz w:val="24"/>
          <w:szCs w:val="24"/>
          <w:lang w:val="bs-Latn-BA"/>
        </w:rPr>
        <w:t>roj: 1/18 od 12.05.2018. godine</w:t>
      </w:r>
      <w:r w:rsidRPr="000102EC">
        <w:rPr>
          <w:iCs/>
          <w:sz w:val="24"/>
          <w:szCs w:val="24"/>
          <w:lang w:val="bs-Latn-BA"/>
        </w:rPr>
        <w:t xml:space="preserve"> tužene Notarske komore Federacije Bosne i Hercegovine, u predmetu izmjene i dopune odluke o visini obaveznog doprinosa za finansiranje Notarske komore FBiH, odlučujući o zahtjevu tužitelja za vanredno preispitivanje sudske odluke podnesenom protiv rješenja Kantonalnog suda u Sarajevu broj: 09 0 U 031278 18 U od 19.06.2018. godine, na nejavnoj sjednici održanoj dana 13.05.2021. godine, donio je slijedeću</w:t>
      </w:r>
    </w:p>
    <w:p w:rsidR="00FF6752" w:rsidRPr="000102EC" w:rsidRDefault="00FF6752" w:rsidP="00FF6752">
      <w:pPr>
        <w:jc w:val="both"/>
        <w:rPr>
          <w:sz w:val="24"/>
          <w:szCs w:val="24"/>
          <w:lang w:val="bs-Latn-BA"/>
        </w:rPr>
      </w:pPr>
    </w:p>
    <w:p w:rsidR="00FF6752" w:rsidRPr="000102EC" w:rsidRDefault="00FF6752" w:rsidP="00FF6752">
      <w:pPr>
        <w:jc w:val="both"/>
        <w:rPr>
          <w:sz w:val="24"/>
          <w:szCs w:val="24"/>
          <w:lang w:val="bs-Latn-BA"/>
        </w:rPr>
      </w:pPr>
    </w:p>
    <w:p w:rsidR="00FF6752" w:rsidRPr="000102EC" w:rsidRDefault="00FF6752" w:rsidP="00FF6752">
      <w:pPr>
        <w:jc w:val="center"/>
        <w:rPr>
          <w:b/>
          <w:sz w:val="24"/>
          <w:szCs w:val="24"/>
          <w:lang w:val="bs-Latn-BA"/>
        </w:rPr>
      </w:pPr>
      <w:r w:rsidRPr="000102EC">
        <w:rPr>
          <w:b/>
          <w:sz w:val="24"/>
          <w:szCs w:val="24"/>
          <w:lang w:val="bs-Latn-BA"/>
        </w:rPr>
        <w:t>P R E S U D U</w:t>
      </w:r>
    </w:p>
    <w:p w:rsidR="00FF6752" w:rsidRPr="000102EC" w:rsidRDefault="00FF6752" w:rsidP="00FF6752">
      <w:pPr>
        <w:jc w:val="both"/>
        <w:rPr>
          <w:sz w:val="24"/>
          <w:szCs w:val="24"/>
          <w:lang w:val="bs-Latn-BA"/>
        </w:rPr>
      </w:pPr>
    </w:p>
    <w:p w:rsidR="00FF6752" w:rsidRPr="000102EC" w:rsidRDefault="00FF6752" w:rsidP="00FF6752">
      <w:pPr>
        <w:jc w:val="center"/>
        <w:rPr>
          <w:sz w:val="24"/>
          <w:szCs w:val="24"/>
          <w:lang w:val="bs-Latn-BA"/>
        </w:rPr>
      </w:pPr>
      <w:r w:rsidRPr="000102EC">
        <w:rPr>
          <w:sz w:val="24"/>
          <w:szCs w:val="24"/>
          <w:lang w:val="bs-Latn-BA"/>
        </w:rPr>
        <w:t>Zahtjev za vanredno preispitivanje sudske odluke se odbija.</w:t>
      </w:r>
    </w:p>
    <w:p w:rsidR="00FF6752" w:rsidRPr="000102EC" w:rsidRDefault="00FF6752" w:rsidP="00FF6752">
      <w:pPr>
        <w:pStyle w:val="Heading1"/>
        <w:jc w:val="both"/>
        <w:rPr>
          <w:b w:val="0"/>
          <w:lang w:val="bs-Latn-BA"/>
        </w:rPr>
      </w:pPr>
    </w:p>
    <w:p w:rsidR="00FF6752" w:rsidRPr="000102EC" w:rsidRDefault="00FF6752" w:rsidP="00FF6752">
      <w:pPr>
        <w:jc w:val="both"/>
        <w:rPr>
          <w:lang w:val="bs-Latn-BA" w:eastAsia="en-US"/>
        </w:rPr>
      </w:pPr>
    </w:p>
    <w:p w:rsidR="00FF6752" w:rsidRPr="000102EC" w:rsidRDefault="00FF6752" w:rsidP="00FF6752">
      <w:pPr>
        <w:pStyle w:val="Heading1"/>
        <w:jc w:val="center"/>
        <w:rPr>
          <w:lang w:val="bs-Latn-BA"/>
        </w:rPr>
      </w:pPr>
      <w:r w:rsidRPr="000102EC">
        <w:rPr>
          <w:lang w:val="bs-Latn-BA"/>
        </w:rPr>
        <w:t>O b r a z l o ž e n j e</w:t>
      </w:r>
    </w:p>
    <w:p w:rsidR="00FF6752" w:rsidRPr="000102EC" w:rsidRDefault="00FF6752" w:rsidP="00FF6752">
      <w:pPr>
        <w:jc w:val="both"/>
        <w:rPr>
          <w:bCs/>
          <w:sz w:val="24"/>
          <w:szCs w:val="24"/>
          <w:lang w:val="bs-Latn-BA"/>
        </w:rPr>
      </w:pPr>
    </w:p>
    <w:p w:rsidR="00FF6752" w:rsidRPr="000102EC" w:rsidRDefault="00FF6752" w:rsidP="00FF6752">
      <w:pPr>
        <w:jc w:val="both"/>
        <w:rPr>
          <w:sz w:val="24"/>
          <w:szCs w:val="24"/>
          <w:lang w:val="bs-Latn-BA"/>
        </w:rPr>
      </w:pPr>
      <w:r w:rsidRPr="000102EC">
        <w:rPr>
          <w:sz w:val="24"/>
          <w:szCs w:val="24"/>
          <w:lang w:val="bs-Latn-BA"/>
        </w:rPr>
        <w:t xml:space="preserve">Rješenjem Kantonalnog suda u Sarajevu broj: 09 0 U 031278 18 U od 19.06.2018. godine odbačena je tužba tužitelja podnesena protiv odluke Skupštine Notarske komore Federacije BiH broj: 1/18 od 12.05.2018. godine, kojom je izmijenjena i dopunjena Odluka o visini obaveznog doprinosa za finansiranje Notarske komore Federacije BiH broj: 1-4260-3pr/13 od 20.12.2013. godine. </w:t>
      </w:r>
    </w:p>
    <w:p w:rsidR="00FF6752" w:rsidRPr="000102EC" w:rsidRDefault="00FF6752" w:rsidP="00FF6752">
      <w:pPr>
        <w:jc w:val="both"/>
        <w:rPr>
          <w:sz w:val="24"/>
          <w:szCs w:val="24"/>
          <w:lang w:val="bs-Latn-BA"/>
        </w:rPr>
      </w:pPr>
      <w:r w:rsidRPr="000102EC">
        <w:rPr>
          <w:sz w:val="24"/>
          <w:szCs w:val="24"/>
          <w:lang w:val="bs-Latn-BA"/>
        </w:rPr>
        <w:tab/>
      </w:r>
    </w:p>
    <w:p w:rsidR="00FF6752" w:rsidRPr="000102EC" w:rsidRDefault="00FF6752" w:rsidP="00FF6752">
      <w:pPr>
        <w:jc w:val="both"/>
        <w:rPr>
          <w:sz w:val="24"/>
          <w:szCs w:val="24"/>
          <w:lang w:val="bs-Latn-BA"/>
        </w:rPr>
      </w:pPr>
      <w:r w:rsidRPr="000102EC">
        <w:rPr>
          <w:sz w:val="24"/>
          <w:szCs w:val="24"/>
          <w:lang w:val="bs-Latn-BA"/>
        </w:rPr>
        <w:t>Protiv pobijanog rješenja prvostepenog suda tužitelji su ovom sudu podnijeli zahtjev za vanredno preispitivanje sudske odluke zbog povrede federalnog zakona i povrede pravila federalnog zakona o postupku koje su mogle biti od uticaja na rješenje stvari. U zahtjevu se ističe da, suprotno zaključku prvostepenog suda, sve odluke Notarske komore predstavljaju upravni akt u smislu odredbe člana 8. stav 2. u vezi s članom 4. Zakona o upravnim sporovima. Tužitelji ukazuju na odredbu člana 67. Zakona o notarima FBiH, iz koje, po njihovom shvatanju, proizlazi nadležnost kantonalnog suda da odlučuje o upravnim sporovima protiv</w:t>
      </w:r>
      <w:r>
        <w:rPr>
          <w:sz w:val="24"/>
          <w:szCs w:val="24"/>
          <w:lang w:val="bs-Latn-BA"/>
        </w:rPr>
        <w:t xml:space="preserve"> svih</w:t>
      </w:r>
      <w:r w:rsidRPr="000102EC">
        <w:rPr>
          <w:sz w:val="24"/>
          <w:szCs w:val="24"/>
          <w:lang w:val="bs-Latn-BA"/>
        </w:rPr>
        <w:t xml:space="preserve"> odluka Notarske komore. Takođe se u zahtjevu ukazuje na sudsku praksu zauzetu u predmetu Kantonalnog suda u Sarajevu broj: 09 0 U 013098 12 U. Tužitelji smatraju da im odredbe Zakona o diskriminaciji daju mogućnost da sudsku zaštitu traže kako tužbom u upravnom sporu, tako i tužbom za zaštitu od diskriminacije, te da zbog toga nema mjesta primjeni člana 11. Zakona o upravnim sporovima. S obzirom na sve navedeno, predlažu da ovaj sud njihov zahtjev uvaži, te prvostepeno rješenje ukine i predmet vrati na ponovno odlučivanje. </w:t>
      </w:r>
    </w:p>
    <w:p w:rsidR="00FF6752" w:rsidRPr="000102EC" w:rsidRDefault="00FF6752" w:rsidP="00FF6752">
      <w:pPr>
        <w:jc w:val="both"/>
        <w:rPr>
          <w:sz w:val="24"/>
          <w:szCs w:val="24"/>
          <w:lang w:val="bs-Latn-BA"/>
        </w:rPr>
      </w:pPr>
    </w:p>
    <w:p w:rsidR="00FF6752" w:rsidRPr="000102EC" w:rsidRDefault="00FF6752" w:rsidP="00FF6752">
      <w:pPr>
        <w:jc w:val="both"/>
        <w:rPr>
          <w:sz w:val="24"/>
          <w:szCs w:val="24"/>
          <w:lang w:val="bs-Latn-BA"/>
        </w:rPr>
      </w:pPr>
      <w:r w:rsidRPr="000102EC">
        <w:rPr>
          <w:sz w:val="24"/>
          <w:szCs w:val="24"/>
          <w:lang w:val="bs-Latn-BA"/>
        </w:rPr>
        <w:lastRenderedPageBreak/>
        <w:t xml:space="preserve">U odgovoru na zahtjev tužitelja za vanredno preispitivanje, tuženi je predložio da ovaj sud zahtjev odbije kao neosnovan. </w:t>
      </w:r>
    </w:p>
    <w:p w:rsidR="00FF6752" w:rsidRPr="000102EC" w:rsidRDefault="00FF6752" w:rsidP="00FF6752">
      <w:pPr>
        <w:tabs>
          <w:tab w:val="left" w:pos="709"/>
        </w:tabs>
        <w:jc w:val="both"/>
        <w:rPr>
          <w:sz w:val="24"/>
          <w:szCs w:val="24"/>
          <w:lang w:val="bs-Latn-BA"/>
        </w:rPr>
      </w:pPr>
    </w:p>
    <w:p w:rsidR="00FF6752" w:rsidRPr="000102EC" w:rsidRDefault="00FF6752" w:rsidP="00FF6752">
      <w:pPr>
        <w:tabs>
          <w:tab w:val="left" w:pos="709"/>
        </w:tabs>
        <w:jc w:val="both"/>
        <w:rPr>
          <w:sz w:val="24"/>
          <w:szCs w:val="24"/>
          <w:lang w:val="bs-Latn-BA"/>
        </w:rPr>
      </w:pPr>
      <w:r w:rsidRPr="000102EC">
        <w:rPr>
          <w:sz w:val="24"/>
          <w:szCs w:val="24"/>
          <w:lang w:val="bs-Latn-BA"/>
        </w:rPr>
        <w:t>Nakon što je ispitao zakonitost pobijanog rješenja u vezi sa navodima zahtjeva za vanredno preispitivanje sudske odluke, u granicama zahtjeva i povreda propisa navedenih u njemu, shodno odredbama člana 45. Zakona o upravnim sporovima</w:t>
      </w:r>
      <w:r w:rsidRPr="000102EC">
        <w:rPr>
          <w:sz w:val="24"/>
          <w:szCs w:val="24"/>
          <w:vertAlign w:val="superscript"/>
          <w:lang w:val="bs-Latn-BA"/>
        </w:rPr>
        <w:footnoteReference w:id="1"/>
      </w:r>
      <w:r w:rsidRPr="000102EC">
        <w:rPr>
          <w:sz w:val="24"/>
          <w:szCs w:val="24"/>
          <w:lang w:val="bs-Latn-BA"/>
        </w:rPr>
        <w:t>, ovaj sud je našao da zahtjev nije osnovan.</w:t>
      </w:r>
    </w:p>
    <w:p w:rsidR="00FF6752" w:rsidRPr="000102EC" w:rsidRDefault="00FF6752" w:rsidP="00FF6752">
      <w:pPr>
        <w:tabs>
          <w:tab w:val="left" w:pos="709"/>
        </w:tabs>
        <w:jc w:val="both"/>
        <w:rPr>
          <w:sz w:val="24"/>
          <w:szCs w:val="24"/>
          <w:lang w:val="bs-Latn-BA"/>
        </w:rPr>
      </w:pPr>
    </w:p>
    <w:p w:rsidR="006F5EEC" w:rsidRDefault="00FF6752" w:rsidP="006F5EEC">
      <w:pPr>
        <w:jc w:val="both"/>
        <w:rPr>
          <w:sz w:val="24"/>
          <w:szCs w:val="24"/>
          <w:lang w:val="bs-Latn-BA"/>
        </w:rPr>
      </w:pPr>
      <w:r w:rsidRPr="000102EC">
        <w:rPr>
          <w:iCs/>
          <w:sz w:val="24"/>
          <w:szCs w:val="24"/>
          <w:lang w:val="bs-Latn-BA"/>
        </w:rPr>
        <w:t xml:space="preserve">Prema obrazloženju pobijanog rješenja, prvostepeni sud je zaključio da </w:t>
      </w:r>
      <w:r w:rsidRPr="000102EC">
        <w:rPr>
          <w:sz w:val="24"/>
          <w:szCs w:val="24"/>
          <w:lang w:val="bs-Latn-BA"/>
        </w:rPr>
        <w:t>iz odredbe člana 67. Zakona o notarima Federacije BiH</w:t>
      </w:r>
      <w:r w:rsidRPr="000102EC">
        <w:rPr>
          <w:rStyle w:val="FootnoteReference"/>
          <w:lang w:val="bs-Latn-BA"/>
        </w:rPr>
        <w:footnoteReference w:id="2"/>
      </w:r>
      <w:r w:rsidRPr="000102EC">
        <w:rPr>
          <w:lang w:val="bs-Latn-BA"/>
        </w:rPr>
        <w:t xml:space="preserve"> </w:t>
      </w:r>
      <w:r w:rsidRPr="000102EC">
        <w:rPr>
          <w:sz w:val="24"/>
          <w:szCs w:val="24"/>
          <w:lang w:val="bs-Latn-BA"/>
        </w:rPr>
        <w:t>proizlazi da se protiv odluka Notarske komore može pokrenuti postupak pred nadležnim sudom u roku od 30 dana od dana prijema konačne odluke, ali ne i da se protiv odluke Notarske komore može pokrenuti upravni spor pred kantonalnim sudom u smislu odredbi Zakona o upravnim sporovima, jer se u konkretnom slučaju ne radi o upravnoj stvari. Prvostepeni sud je stoga pobijanim rješenjem tužbu odbacio, cijeneći da osporena odluka tuženog nije upravni akt.</w:t>
      </w:r>
    </w:p>
    <w:p w:rsidR="006F5EEC" w:rsidRDefault="006F5EEC" w:rsidP="006F5EEC">
      <w:pPr>
        <w:jc w:val="both"/>
        <w:rPr>
          <w:sz w:val="24"/>
          <w:szCs w:val="24"/>
          <w:lang w:val="bs-Latn-BA"/>
        </w:rPr>
      </w:pPr>
    </w:p>
    <w:p w:rsidR="00FF6752" w:rsidRPr="000102EC" w:rsidRDefault="00FF6752" w:rsidP="006F5EEC">
      <w:pPr>
        <w:jc w:val="both"/>
        <w:rPr>
          <w:sz w:val="24"/>
          <w:szCs w:val="24"/>
          <w:lang w:val="bs-Latn-BA"/>
        </w:rPr>
      </w:pPr>
      <w:r w:rsidRPr="000102EC">
        <w:rPr>
          <w:sz w:val="24"/>
          <w:lang w:val="bs-Latn-BA"/>
        </w:rPr>
        <w:t xml:space="preserve">Po ocjeni ovog suda, zakonitost prvostepenog rješenja nije dovedena u sumnju navodima </w:t>
      </w:r>
      <w:r w:rsidRPr="000102EC">
        <w:rPr>
          <w:sz w:val="24"/>
          <w:szCs w:val="24"/>
          <w:lang w:val="bs-Latn-BA"/>
        </w:rPr>
        <w:t xml:space="preserve">zahtjeva za vanredno preispitivanje. </w:t>
      </w:r>
    </w:p>
    <w:p w:rsidR="00FF6752" w:rsidRPr="000102EC" w:rsidRDefault="00FF6752" w:rsidP="00FF6752">
      <w:pPr>
        <w:tabs>
          <w:tab w:val="left" w:pos="709"/>
        </w:tabs>
        <w:ind w:firstLine="720"/>
        <w:jc w:val="both"/>
        <w:rPr>
          <w:sz w:val="24"/>
          <w:szCs w:val="24"/>
          <w:lang w:val="bs-Latn-BA"/>
        </w:rPr>
      </w:pPr>
    </w:p>
    <w:p w:rsidR="00FF6752" w:rsidRDefault="00FF6752" w:rsidP="00FF6752">
      <w:pPr>
        <w:jc w:val="both"/>
        <w:rPr>
          <w:sz w:val="24"/>
          <w:szCs w:val="24"/>
          <w:lang w:val="bs-Latn-BA"/>
        </w:rPr>
      </w:pPr>
      <w:r w:rsidRPr="000102EC">
        <w:rPr>
          <w:sz w:val="24"/>
          <w:szCs w:val="24"/>
          <w:lang w:val="bs-Latn-BA"/>
        </w:rPr>
        <w:t xml:space="preserve">Odredbom člana 1. </w:t>
      </w:r>
      <w:r>
        <w:rPr>
          <w:sz w:val="24"/>
          <w:szCs w:val="24"/>
          <w:lang w:val="bs-Latn-BA"/>
        </w:rPr>
        <w:t>Zakona o upravnim sporovima</w:t>
      </w:r>
      <w:r w:rsidRPr="000102EC">
        <w:rPr>
          <w:sz w:val="24"/>
          <w:szCs w:val="24"/>
          <w:lang w:val="bs-Latn-BA"/>
        </w:rPr>
        <w:t xml:space="preserve"> predviđeno je da sudovi u upravnim sporovima odlučuju o zakonitosti akata kojima organi uprave i službe za upravu u općini i gradu, odnosno privredn</w:t>
      </w:r>
      <w:r>
        <w:rPr>
          <w:sz w:val="24"/>
          <w:szCs w:val="24"/>
          <w:lang w:val="bs-Latn-BA"/>
        </w:rPr>
        <w:t>a</w:t>
      </w:r>
      <w:r w:rsidRPr="000102EC">
        <w:rPr>
          <w:sz w:val="24"/>
          <w:szCs w:val="24"/>
          <w:lang w:val="bs-Latn-BA"/>
        </w:rPr>
        <w:t xml:space="preserve"> i druga društva, ustano</w:t>
      </w:r>
      <w:r>
        <w:rPr>
          <w:sz w:val="24"/>
          <w:szCs w:val="24"/>
          <w:lang w:val="bs-Latn-BA"/>
        </w:rPr>
        <w:t>ve i druga</w:t>
      </w:r>
      <w:r w:rsidRPr="000102EC">
        <w:rPr>
          <w:sz w:val="24"/>
          <w:szCs w:val="24"/>
          <w:lang w:val="bs-Latn-BA"/>
        </w:rPr>
        <w:t xml:space="preserve"> pravna lica koja imaju javna ovlaštenja</w:t>
      </w:r>
      <w:r>
        <w:rPr>
          <w:sz w:val="24"/>
          <w:szCs w:val="24"/>
          <w:lang w:val="bs-Latn-BA"/>
        </w:rPr>
        <w:t>,</w:t>
      </w:r>
      <w:r w:rsidRPr="000102EC">
        <w:rPr>
          <w:sz w:val="24"/>
          <w:szCs w:val="24"/>
          <w:lang w:val="bs-Latn-BA"/>
        </w:rPr>
        <w:t xml:space="preserve"> rješavaju o pravima i obaveza</w:t>
      </w:r>
      <w:r>
        <w:rPr>
          <w:sz w:val="24"/>
          <w:szCs w:val="24"/>
          <w:lang w:val="bs-Latn-BA"/>
        </w:rPr>
        <w:t>m</w:t>
      </w:r>
      <w:r w:rsidRPr="000102EC">
        <w:rPr>
          <w:sz w:val="24"/>
          <w:szCs w:val="24"/>
          <w:lang w:val="bs-Latn-BA"/>
        </w:rPr>
        <w:t>a pojedinaca i pravnih lica</w:t>
      </w:r>
      <w:r>
        <w:rPr>
          <w:sz w:val="24"/>
          <w:szCs w:val="24"/>
          <w:lang w:val="bs-Latn-BA"/>
        </w:rPr>
        <w:t xml:space="preserve"> u pojedinačnim upravnim stvarima. </w:t>
      </w:r>
      <w:r w:rsidRPr="000102EC">
        <w:rPr>
          <w:sz w:val="24"/>
          <w:szCs w:val="24"/>
          <w:lang w:val="bs-Latn-BA"/>
        </w:rPr>
        <w:t>Prema odredbi člana 8. Zakona o upravnim sporovima, upravni spor se može voditi samo protiv upravnog akta (stav 1.)</w:t>
      </w:r>
      <w:r>
        <w:rPr>
          <w:sz w:val="24"/>
          <w:szCs w:val="24"/>
          <w:lang w:val="bs-Latn-BA"/>
        </w:rPr>
        <w:t>, a u</w:t>
      </w:r>
      <w:r w:rsidRPr="000102EC">
        <w:rPr>
          <w:sz w:val="24"/>
          <w:szCs w:val="24"/>
          <w:lang w:val="bs-Latn-BA"/>
        </w:rPr>
        <w:t xml:space="preserve">pravni akt, u smislu tog zakona, je akt kojim nadležni organ iz člana 4. tog zakona, rješava o izvjesnom pravu ili obavezi pojedinca ili pravnog lica u nekoj upravnoj stvari (stav 2.). </w:t>
      </w:r>
    </w:p>
    <w:p w:rsidR="00FF6752" w:rsidRDefault="00FF6752" w:rsidP="00FF6752">
      <w:pPr>
        <w:jc w:val="both"/>
        <w:rPr>
          <w:sz w:val="24"/>
          <w:szCs w:val="24"/>
          <w:lang w:val="bs-Latn-BA"/>
        </w:rPr>
      </w:pPr>
    </w:p>
    <w:p w:rsidR="00FF6752" w:rsidRDefault="00FF6752" w:rsidP="00FF6752">
      <w:pPr>
        <w:jc w:val="both"/>
        <w:rPr>
          <w:sz w:val="24"/>
          <w:szCs w:val="24"/>
          <w:lang w:val="bs-Latn-BA"/>
        </w:rPr>
      </w:pPr>
      <w:r w:rsidRPr="000102EC">
        <w:rPr>
          <w:sz w:val="24"/>
          <w:szCs w:val="24"/>
          <w:lang w:val="bs-Latn-BA"/>
        </w:rPr>
        <w:t xml:space="preserve">Osporavanom </w:t>
      </w:r>
      <w:r>
        <w:rPr>
          <w:sz w:val="24"/>
          <w:szCs w:val="24"/>
          <w:lang w:val="bs-Latn-BA"/>
        </w:rPr>
        <w:t>O</w:t>
      </w:r>
      <w:r w:rsidRPr="000102EC">
        <w:rPr>
          <w:sz w:val="24"/>
          <w:szCs w:val="24"/>
          <w:lang w:val="bs-Latn-BA"/>
        </w:rPr>
        <w:t>dlukom o izmjenama i dopunama Odluke o visini obaveznog doprinosa za finansiranje Notarske komore Federacije BiH</w:t>
      </w:r>
      <w:r>
        <w:rPr>
          <w:sz w:val="24"/>
          <w:szCs w:val="24"/>
          <w:lang w:val="bs-Latn-BA"/>
        </w:rPr>
        <w:t xml:space="preserve"> </w:t>
      </w:r>
      <w:r w:rsidRPr="000102EC">
        <w:rPr>
          <w:iCs/>
          <w:sz w:val="24"/>
          <w:szCs w:val="24"/>
          <w:lang w:val="bs-Latn-BA"/>
        </w:rPr>
        <w:t>broj: 1/18 od 12.05.2018. godine</w:t>
      </w:r>
      <w:r w:rsidRPr="000102EC">
        <w:rPr>
          <w:sz w:val="24"/>
          <w:szCs w:val="24"/>
          <w:lang w:val="bs-Latn-BA"/>
        </w:rPr>
        <w:t>, utvrđuje se obaveza svih notara – članova Notarske komore na plaćanje doprinosa za finansiranje Notarske komore po stopi od ostvarenog mjesečnog prihoda i u rokovima utvrđenim</w:t>
      </w:r>
      <w:r>
        <w:rPr>
          <w:sz w:val="24"/>
          <w:szCs w:val="24"/>
          <w:lang w:val="bs-Latn-BA"/>
        </w:rPr>
        <w:t xml:space="preserve"> tom o</w:t>
      </w:r>
      <w:r w:rsidRPr="000102EC">
        <w:rPr>
          <w:sz w:val="24"/>
          <w:szCs w:val="24"/>
          <w:lang w:val="bs-Latn-BA"/>
        </w:rPr>
        <w:t>dlukom.</w:t>
      </w:r>
    </w:p>
    <w:p w:rsidR="00FF6752" w:rsidRDefault="00FF6752" w:rsidP="00FF6752">
      <w:pPr>
        <w:jc w:val="both"/>
        <w:rPr>
          <w:sz w:val="24"/>
          <w:szCs w:val="24"/>
          <w:lang w:val="bs-Latn-BA"/>
        </w:rPr>
      </w:pPr>
    </w:p>
    <w:p w:rsidR="00FF6752" w:rsidRDefault="00FF6752" w:rsidP="00FF6752">
      <w:pPr>
        <w:jc w:val="both"/>
        <w:rPr>
          <w:sz w:val="24"/>
          <w:szCs w:val="24"/>
          <w:lang w:val="bs-Latn-BA"/>
        </w:rPr>
      </w:pPr>
      <w:r w:rsidRPr="000102EC">
        <w:rPr>
          <w:sz w:val="24"/>
          <w:szCs w:val="24"/>
          <w:lang w:val="bs-Latn-BA"/>
        </w:rPr>
        <w:t xml:space="preserve">U konkretnom slučaju, dakle, osporenom odlukom se ne rješava o izvjesnom pravu ili obavezi tužitelja u nekoj upravnoj stvari, već se radi o općem aktu kojim Skupština Notarske komore FBiH, na osnovu ovlaštenja iz </w:t>
      </w:r>
      <w:r>
        <w:rPr>
          <w:sz w:val="24"/>
          <w:szCs w:val="24"/>
          <w:lang w:val="bs-Latn-BA"/>
        </w:rPr>
        <w:t xml:space="preserve">čl. 65. i 66. </w:t>
      </w:r>
      <w:r w:rsidRPr="000102EC">
        <w:rPr>
          <w:sz w:val="24"/>
          <w:szCs w:val="24"/>
          <w:lang w:val="bs-Latn-BA"/>
        </w:rPr>
        <w:t>Zakona o notarima</w:t>
      </w:r>
      <w:r>
        <w:rPr>
          <w:sz w:val="24"/>
          <w:szCs w:val="24"/>
          <w:lang w:val="bs-Latn-BA"/>
        </w:rPr>
        <w:t>,</w:t>
      </w:r>
      <w:r w:rsidRPr="000102EC">
        <w:rPr>
          <w:sz w:val="24"/>
          <w:szCs w:val="24"/>
          <w:lang w:val="bs-Latn-BA"/>
        </w:rPr>
        <w:t xml:space="preserve"> propisuje </w:t>
      </w:r>
      <w:r>
        <w:rPr>
          <w:sz w:val="24"/>
          <w:szCs w:val="24"/>
          <w:lang w:val="bs-Latn-BA"/>
        </w:rPr>
        <w:t xml:space="preserve">iznos doprinosa koji su notari </w:t>
      </w:r>
      <w:r w:rsidRPr="000102EC">
        <w:rPr>
          <w:sz w:val="24"/>
          <w:szCs w:val="24"/>
          <w:lang w:val="bs-Latn-BA"/>
        </w:rPr>
        <w:t>obavez</w:t>
      </w:r>
      <w:r>
        <w:rPr>
          <w:sz w:val="24"/>
          <w:szCs w:val="24"/>
          <w:lang w:val="bs-Latn-BA"/>
        </w:rPr>
        <w:t xml:space="preserve">ni </w:t>
      </w:r>
      <w:r w:rsidRPr="000102EC">
        <w:rPr>
          <w:sz w:val="24"/>
          <w:szCs w:val="24"/>
          <w:lang w:val="bs-Latn-BA"/>
        </w:rPr>
        <w:t>plaća</w:t>
      </w:r>
      <w:r>
        <w:rPr>
          <w:sz w:val="24"/>
          <w:szCs w:val="24"/>
          <w:lang w:val="bs-Latn-BA"/>
        </w:rPr>
        <w:t>ti</w:t>
      </w:r>
      <w:r w:rsidRPr="000102EC">
        <w:rPr>
          <w:sz w:val="24"/>
          <w:szCs w:val="24"/>
          <w:lang w:val="bs-Latn-BA"/>
        </w:rPr>
        <w:t xml:space="preserve"> za finansiranje Notarske komore</w:t>
      </w:r>
      <w:r>
        <w:rPr>
          <w:sz w:val="24"/>
          <w:szCs w:val="24"/>
          <w:lang w:val="bs-Latn-BA"/>
        </w:rPr>
        <w:t xml:space="preserve">. Odredbom člana 65. Zakona o notarima, naime, propisano je da se Notarska komora finansira od doprinosa koje uplaćuju notari u iznosu koji utvrdi Skupština Notarske komore, a odredbom člana 66. istog zakona da Notarska komora ima pravo, u skladu sa tim zakonom i Statutom Notarske komore, donositi opće akte koji su za notare obavezujući. </w:t>
      </w:r>
    </w:p>
    <w:p w:rsidR="00FF6752" w:rsidRDefault="00FF6752" w:rsidP="00FF6752">
      <w:pPr>
        <w:jc w:val="both"/>
        <w:rPr>
          <w:sz w:val="24"/>
          <w:szCs w:val="24"/>
          <w:lang w:val="bs-Latn-BA"/>
        </w:rPr>
      </w:pPr>
    </w:p>
    <w:p w:rsidR="006F5EEC" w:rsidRDefault="00FF6752" w:rsidP="006F5EEC">
      <w:pPr>
        <w:jc w:val="both"/>
        <w:rPr>
          <w:b/>
          <w:sz w:val="24"/>
          <w:szCs w:val="24"/>
          <w:lang w:val="bs-Latn-BA"/>
        </w:rPr>
      </w:pPr>
      <w:r w:rsidRPr="000102EC">
        <w:rPr>
          <w:sz w:val="24"/>
          <w:szCs w:val="24"/>
          <w:lang w:val="bs-Latn-BA"/>
        </w:rPr>
        <w:lastRenderedPageBreak/>
        <w:t xml:space="preserve">Dakle, </w:t>
      </w:r>
      <w:r>
        <w:rPr>
          <w:sz w:val="24"/>
          <w:szCs w:val="24"/>
          <w:lang w:val="bs-Latn-BA"/>
        </w:rPr>
        <w:t xml:space="preserve">budući da se osporavanom odlukom ne odlučuje o pravima ili obavezama pojedinog fizičkog ili pravnog lica, navedena odluka </w:t>
      </w:r>
      <w:r w:rsidRPr="000102EC">
        <w:rPr>
          <w:sz w:val="24"/>
          <w:szCs w:val="24"/>
          <w:lang w:val="bs-Latn-BA"/>
        </w:rPr>
        <w:t xml:space="preserve">ne </w:t>
      </w:r>
      <w:r>
        <w:rPr>
          <w:sz w:val="24"/>
          <w:szCs w:val="24"/>
          <w:lang w:val="bs-Latn-BA"/>
        </w:rPr>
        <w:t xml:space="preserve">predstavlja </w:t>
      </w:r>
      <w:r w:rsidRPr="000102EC">
        <w:rPr>
          <w:sz w:val="24"/>
          <w:szCs w:val="24"/>
          <w:lang w:val="bs-Latn-BA"/>
        </w:rPr>
        <w:t>upravn</w:t>
      </w:r>
      <w:r>
        <w:rPr>
          <w:sz w:val="24"/>
          <w:szCs w:val="24"/>
          <w:lang w:val="bs-Latn-BA"/>
        </w:rPr>
        <w:t xml:space="preserve">i </w:t>
      </w:r>
      <w:r w:rsidRPr="000102EC">
        <w:rPr>
          <w:sz w:val="24"/>
          <w:szCs w:val="24"/>
          <w:lang w:val="bs-Latn-BA"/>
        </w:rPr>
        <w:t xml:space="preserve">akt, </w:t>
      </w:r>
      <w:r>
        <w:rPr>
          <w:sz w:val="24"/>
          <w:szCs w:val="24"/>
          <w:lang w:val="bs-Latn-BA"/>
        </w:rPr>
        <w:t xml:space="preserve">pa se, </w:t>
      </w:r>
      <w:r w:rsidRPr="000102EC">
        <w:rPr>
          <w:sz w:val="24"/>
          <w:szCs w:val="24"/>
          <w:lang w:val="bs-Latn-BA"/>
        </w:rPr>
        <w:t>kako</w:t>
      </w:r>
      <w:r>
        <w:rPr>
          <w:sz w:val="24"/>
          <w:szCs w:val="24"/>
          <w:lang w:val="bs-Latn-BA"/>
        </w:rPr>
        <w:t xml:space="preserve"> to </w:t>
      </w:r>
      <w:r w:rsidRPr="000102EC">
        <w:rPr>
          <w:sz w:val="24"/>
          <w:szCs w:val="24"/>
          <w:lang w:val="bs-Latn-BA"/>
        </w:rPr>
        <w:t xml:space="preserve"> pravilno zaključuje i prvostepeni sud, protiv </w:t>
      </w:r>
      <w:r>
        <w:rPr>
          <w:sz w:val="24"/>
          <w:szCs w:val="24"/>
          <w:lang w:val="bs-Latn-BA"/>
        </w:rPr>
        <w:t xml:space="preserve">nje </w:t>
      </w:r>
      <w:r w:rsidRPr="000102EC">
        <w:rPr>
          <w:sz w:val="24"/>
          <w:szCs w:val="24"/>
          <w:lang w:val="bs-Latn-BA"/>
        </w:rPr>
        <w:t xml:space="preserve">ne može voditi upravni spor. </w:t>
      </w:r>
    </w:p>
    <w:p w:rsidR="006F5EEC" w:rsidRDefault="006F5EEC" w:rsidP="006F5EEC">
      <w:pPr>
        <w:jc w:val="both"/>
        <w:rPr>
          <w:b/>
          <w:sz w:val="24"/>
          <w:szCs w:val="24"/>
          <w:lang w:val="bs-Latn-BA"/>
        </w:rPr>
      </w:pPr>
    </w:p>
    <w:p w:rsidR="006F5EEC" w:rsidRDefault="00FF6752" w:rsidP="006F5EEC">
      <w:pPr>
        <w:jc w:val="both"/>
        <w:rPr>
          <w:b/>
          <w:sz w:val="24"/>
          <w:szCs w:val="24"/>
          <w:lang w:val="bs-Latn-BA"/>
        </w:rPr>
      </w:pPr>
      <w:r>
        <w:rPr>
          <w:sz w:val="24"/>
          <w:szCs w:val="24"/>
          <w:lang w:val="bs-Latn-BA"/>
        </w:rPr>
        <w:t>Tužitelji pravilno navode</w:t>
      </w:r>
      <w:r w:rsidRPr="00F44BEB">
        <w:rPr>
          <w:sz w:val="24"/>
          <w:szCs w:val="24"/>
          <w:lang w:val="bs-Latn-BA"/>
        </w:rPr>
        <w:t xml:space="preserve"> da je odredbom člana 67. Zakona o notarima propisano da protiv konačnih odluka tijela Notarske komore kojima se odlučuje o pravima i dužnostima</w:t>
      </w:r>
      <w:r>
        <w:rPr>
          <w:sz w:val="24"/>
          <w:szCs w:val="24"/>
          <w:lang w:val="bs-Latn-BA"/>
        </w:rPr>
        <w:t xml:space="preserve"> notara, </w:t>
      </w:r>
      <w:r w:rsidRPr="00F44BEB">
        <w:rPr>
          <w:sz w:val="24"/>
          <w:szCs w:val="24"/>
          <w:lang w:val="bs-Latn-BA"/>
        </w:rPr>
        <w:t xml:space="preserve">zamjenika notara, notarskih pomoćnika i drugih lica na radu kod notara, može voditi spor kod nadležnog suda u roku od 30 dana od dana prijema konačne odluke. Ova odredba, međutim, kako to pravilno utvrđuje prvostepeni sud, </w:t>
      </w:r>
      <w:r>
        <w:rPr>
          <w:sz w:val="24"/>
          <w:szCs w:val="24"/>
          <w:lang w:val="bs-Latn-BA"/>
        </w:rPr>
        <w:t>ne upućuje izričito na vođenje upravnog spora, već na „vođenje spora kod nadležnog suda“. Stoga navedena odredba ne može, protivno odredbama Zakona o upravnim sporovima, predstavljati osnov za vođenje upravnog spora protiv akta koji nije upravni akt.</w:t>
      </w:r>
    </w:p>
    <w:p w:rsidR="006F5EEC" w:rsidRDefault="006F5EEC" w:rsidP="006F5EEC">
      <w:pPr>
        <w:jc w:val="both"/>
        <w:rPr>
          <w:b/>
          <w:sz w:val="24"/>
          <w:szCs w:val="24"/>
          <w:lang w:val="bs-Latn-BA"/>
        </w:rPr>
      </w:pPr>
    </w:p>
    <w:p w:rsidR="00FF6752" w:rsidRPr="006F5EEC" w:rsidRDefault="00FF6752" w:rsidP="006F5EEC">
      <w:pPr>
        <w:jc w:val="both"/>
        <w:rPr>
          <w:b/>
          <w:sz w:val="24"/>
          <w:szCs w:val="24"/>
          <w:lang w:val="bs-Latn-BA"/>
        </w:rPr>
      </w:pPr>
      <w:r>
        <w:rPr>
          <w:sz w:val="24"/>
          <w:szCs w:val="24"/>
          <w:lang w:val="bs-Latn-BA"/>
        </w:rPr>
        <w:t>Bez osnova se u zahtjevu za vanredno preispitivanje ukazuje na stav izražen u odlukama Kantonalnog suda u Sarajevu i Vrhovnog suda FBiH u predmetu broj 09 0 U 013098 12 U, budući da se ne radi o uporedivoj činjeničnoj i pravnoj situaciji, jer je pobijani akt u tom predmetu bila odluka Notarske komore kojom je odlučeno o konkretnim pravima i obavezama pojedinog notara.</w:t>
      </w:r>
    </w:p>
    <w:p w:rsidR="006F5EEC" w:rsidRDefault="006F5EEC" w:rsidP="00FF6752">
      <w:pPr>
        <w:pStyle w:val="BodyTextIndent2"/>
        <w:spacing w:after="0" w:line="240" w:lineRule="auto"/>
        <w:ind w:left="0"/>
        <w:jc w:val="both"/>
        <w:rPr>
          <w:lang w:val="bs-Latn-BA"/>
        </w:rPr>
      </w:pPr>
    </w:p>
    <w:p w:rsidR="00FF6752" w:rsidRPr="000102EC" w:rsidRDefault="00FF6752" w:rsidP="00FF6752">
      <w:pPr>
        <w:pStyle w:val="BodyTextIndent2"/>
        <w:spacing w:after="0" w:line="240" w:lineRule="auto"/>
        <w:ind w:left="0"/>
        <w:jc w:val="both"/>
        <w:rPr>
          <w:noProof/>
          <w:lang w:val="bs-Latn-BA"/>
        </w:rPr>
      </w:pPr>
      <w:r>
        <w:rPr>
          <w:lang w:val="bs-Latn-BA"/>
        </w:rPr>
        <w:t>I</w:t>
      </w:r>
      <w:r w:rsidRPr="000102EC">
        <w:rPr>
          <w:noProof/>
          <w:lang w:val="bs-Latn-BA"/>
        </w:rPr>
        <w:t>z navedenih razloga ovaj sud je primjenom člana 46. stav 1. Zakona o upravnim sporovima, odlučio kao u izreci ove presude.</w:t>
      </w:r>
    </w:p>
    <w:p w:rsidR="00FF6752" w:rsidRPr="000102EC" w:rsidRDefault="00FF6752" w:rsidP="00FF6752">
      <w:pPr>
        <w:jc w:val="both"/>
        <w:rPr>
          <w:noProof/>
          <w:sz w:val="24"/>
          <w:szCs w:val="24"/>
          <w:lang w:val="bs-Latn-BA" w:eastAsia="en-US"/>
        </w:rPr>
      </w:pPr>
    </w:p>
    <w:p w:rsidR="00FF6752" w:rsidRPr="000102EC" w:rsidRDefault="00FF6752" w:rsidP="00FF6752">
      <w:pPr>
        <w:jc w:val="both"/>
        <w:rPr>
          <w:sz w:val="24"/>
          <w:szCs w:val="24"/>
          <w:lang w:val="bs-Latn-BA"/>
        </w:rPr>
      </w:pPr>
    </w:p>
    <w:p w:rsidR="00FF6752" w:rsidRPr="000102EC" w:rsidRDefault="00FF6752" w:rsidP="00FF6752">
      <w:pPr>
        <w:jc w:val="both"/>
        <w:rPr>
          <w:sz w:val="24"/>
          <w:szCs w:val="24"/>
          <w:lang w:val="bs-Latn-BA"/>
        </w:rPr>
      </w:pPr>
    </w:p>
    <w:p w:rsidR="00FF6752" w:rsidRPr="000102EC" w:rsidRDefault="006F5EEC" w:rsidP="00FF6752">
      <w:pPr>
        <w:jc w:val="both"/>
        <w:rPr>
          <w:sz w:val="24"/>
          <w:szCs w:val="24"/>
          <w:lang w:val="bs-Latn-BA"/>
        </w:rPr>
      </w:pPr>
      <w:r>
        <w:rPr>
          <w:sz w:val="24"/>
          <w:szCs w:val="24"/>
          <w:lang w:val="bs-Latn-BA"/>
        </w:rPr>
        <w:t xml:space="preserve">     Zapisničar </w:t>
      </w:r>
      <w:r>
        <w:rPr>
          <w:sz w:val="24"/>
          <w:szCs w:val="24"/>
          <w:lang w:val="bs-Latn-BA"/>
        </w:rPr>
        <w:tab/>
      </w:r>
      <w:r>
        <w:rPr>
          <w:sz w:val="24"/>
          <w:szCs w:val="24"/>
          <w:lang w:val="bs-Latn-BA"/>
        </w:rPr>
        <w:tab/>
      </w:r>
      <w:r>
        <w:rPr>
          <w:sz w:val="24"/>
          <w:szCs w:val="24"/>
          <w:lang w:val="bs-Latn-BA"/>
        </w:rPr>
        <w:tab/>
      </w:r>
      <w:r>
        <w:rPr>
          <w:sz w:val="24"/>
          <w:szCs w:val="24"/>
          <w:lang w:val="bs-Latn-BA"/>
        </w:rPr>
        <w:tab/>
      </w:r>
      <w:r>
        <w:rPr>
          <w:sz w:val="24"/>
          <w:szCs w:val="24"/>
          <w:lang w:val="bs-Latn-BA"/>
        </w:rPr>
        <w:tab/>
      </w:r>
      <w:r>
        <w:rPr>
          <w:sz w:val="24"/>
          <w:szCs w:val="24"/>
          <w:lang w:val="bs-Latn-BA"/>
        </w:rPr>
        <w:tab/>
        <w:t xml:space="preserve"> </w:t>
      </w:r>
      <w:r w:rsidR="00FF6752">
        <w:rPr>
          <w:sz w:val="24"/>
          <w:szCs w:val="24"/>
          <w:lang w:val="bs-Latn-BA"/>
        </w:rPr>
        <w:t xml:space="preserve">   </w:t>
      </w:r>
      <w:r w:rsidR="00FF6752" w:rsidRPr="000102EC">
        <w:rPr>
          <w:sz w:val="24"/>
          <w:szCs w:val="24"/>
          <w:lang w:val="bs-Latn-BA"/>
        </w:rPr>
        <w:t>Predsjednica vijeća</w:t>
      </w:r>
    </w:p>
    <w:p w:rsidR="00FF6752" w:rsidRPr="000102EC" w:rsidRDefault="00FF6752" w:rsidP="00FF6752">
      <w:pPr>
        <w:jc w:val="both"/>
        <w:rPr>
          <w:sz w:val="24"/>
          <w:szCs w:val="24"/>
          <w:lang w:val="bs-Latn-BA"/>
        </w:rPr>
      </w:pPr>
      <w:r>
        <w:rPr>
          <w:sz w:val="24"/>
          <w:szCs w:val="24"/>
          <w:lang w:val="bs-Latn-BA"/>
        </w:rPr>
        <w:t>Namira Beganović, s</w:t>
      </w:r>
      <w:r w:rsidR="006F5EEC">
        <w:rPr>
          <w:sz w:val="24"/>
          <w:szCs w:val="24"/>
          <w:lang w:val="bs-Latn-BA"/>
        </w:rPr>
        <w:t>.r.</w:t>
      </w:r>
      <w:r w:rsidR="006F5EEC">
        <w:rPr>
          <w:sz w:val="24"/>
          <w:szCs w:val="24"/>
          <w:lang w:val="bs-Latn-BA"/>
        </w:rPr>
        <w:tab/>
      </w:r>
      <w:r w:rsidR="006F5EEC">
        <w:rPr>
          <w:sz w:val="24"/>
          <w:szCs w:val="24"/>
          <w:lang w:val="bs-Latn-BA"/>
        </w:rPr>
        <w:tab/>
      </w:r>
      <w:r w:rsidR="006F5EEC">
        <w:rPr>
          <w:sz w:val="24"/>
          <w:szCs w:val="24"/>
          <w:lang w:val="bs-Latn-BA"/>
        </w:rPr>
        <w:tab/>
        <w:t xml:space="preserve">                </w:t>
      </w:r>
      <w:r w:rsidR="006F5EEC" w:rsidRPr="000102EC">
        <w:rPr>
          <w:sz w:val="24"/>
          <w:szCs w:val="24"/>
          <w:lang w:val="bs-Latn-BA"/>
        </w:rPr>
        <w:t>Brank</w:t>
      </w:r>
      <w:r w:rsidR="006F5EEC">
        <w:rPr>
          <w:sz w:val="24"/>
          <w:szCs w:val="24"/>
          <w:lang w:val="bs-Latn-BA"/>
        </w:rPr>
        <w:t>a</w:t>
      </w:r>
      <w:r w:rsidR="006F5EEC" w:rsidRPr="000102EC">
        <w:rPr>
          <w:sz w:val="24"/>
          <w:szCs w:val="24"/>
          <w:lang w:val="bs-Latn-BA"/>
        </w:rPr>
        <w:t xml:space="preserve"> Schorr</w:t>
      </w:r>
      <w:r w:rsidR="006F5EEC">
        <w:rPr>
          <w:sz w:val="24"/>
          <w:szCs w:val="24"/>
          <w:lang w:val="bs-Latn-BA"/>
        </w:rPr>
        <w:t>.</w:t>
      </w:r>
      <w:r>
        <w:rPr>
          <w:sz w:val="24"/>
          <w:szCs w:val="24"/>
          <w:lang w:val="bs-Latn-BA"/>
        </w:rPr>
        <w:t>, s.r.</w:t>
      </w:r>
    </w:p>
    <w:p w:rsidR="00FF6752" w:rsidRPr="000102EC" w:rsidRDefault="00FF6752" w:rsidP="00FF6752">
      <w:pPr>
        <w:jc w:val="both"/>
        <w:rPr>
          <w:sz w:val="24"/>
          <w:szCs w:val="24"/>
          <w:lang w:val="bs-Latn-BA"/>
        </w:rPr>
      </w:pPr>
    </w:p>
    <w:p w:rsidR="00044373" w:rsidRDefault="00044373"/>
    <w:sectPr w:rsidR="00044373" w:rsidSect="006F5EEC">
      <w:headerReference w:type="default" r:id="rId6"/>
      <w:pgSz w:w="11906" w:h="16838" w:code="9"/>
      <w:pgMar w:top="1701" w:right="170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01DD" w:rsidRDefault="001701DD" w:rsidP="00FF6752">
      <w:r>
        <w:separator/>
      </w:r>
    </w:p>
  </w:endnote>
  <w:endnote w:type="continuationSeparator" w:id="0">
    <w:p w:rsidR="001701DD" w:rsidRDefault="001701DD" w:rsidP="00FF6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01DD" w:rsidRDefault="001701DD" w:rsidP="00FF6752">
      <w:r>
        <w:separator/>
      </w:r>
    </w:p>
  </w:footnote>
  <w:footnote w:type="continuationSeparator" w:id="0">
    <w:p w:rsidR="001701DD" w:rsidRDefault="001701DD" w:rsidP="00FF6752">
      <w:r>
        <w:continuationSeparator/>
      </w:r>
    </w:p>
  </w:footnote>
  <w:footnote w:id="1">
    <w:p w:rsidR="00FF6752" w:rsidRDefault="00FF6752" w:rsidP="00FF6752">
      <w:pPr>
        <w:pStyle w:val="FootnoteText"/>
      </w:pPr>
      <w:r>
        <w:rPr>
          <w:rStyle w:val="FootnoteReference"/>
        </w:rPr>
        <w:footnoteRef/>
      </w:r>
      <w:r>
        <w:t xml:space="preserve"> „</w:t>
      </w:r>
      <w:r w:rsidRPr="003C6297">
        <w:t>Službene novine Federacije BiH</w:t>
      </w:r>
      <w:r>
        <w:t>“</w:t>
      </w:r>
      <w:r w:rsidRPr="003C6297">
        <w:t xml:space="preserve"> broj 9/05</w:t>
      </w:r>
    </w:p>
  </w:footnote>
  <w:footnote w:id="2">
    <w:p w:rsidR="00FF6752" w:rsidRPr="007E28DE" w:rsidRDefault="00FF6752" w:rsidP="00FF6752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bs-Latn-BA"/>
        </w:rPr>
        <w:t>„Službene novine Federacije BiH“ broj 45/02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0007" w:rsidRPr="00A535CA" w:rsidRDefault="0007092C">
    <w:pPr>
      <w:pStyle w:val="Header"/>
      <w:jc w:val="right"/>
      <w:rPr>
        <w:sz w:val="24"/>
      </w:rPr>
    </w:pPr>
    <w:r w:rsidRPr="00A535CA">
      <w:rPr>
        <w:sz w:val="24"/>
      </w:rPr>
      <w:fldChar w:fldCharType="begin"/>
    </w:r>
    <w:r w:rsidRPr="00A535CA">
      <w:rPr>
        <w:sz w:val="24"/>
      </w:rPr>
      <w:instrText xml:space="preserve"> PAGE   \* MERGEFORMAT </w:instrText>
    </w:r>
    <w:r w:rsidRPr="00A535CA">
      <w:rPr>
        <w:sz w:val="24"/>
      </w:rPr>
      <w:fldChar w:fldCharType="separate"/>
    </w:r>
    <w:r w:rsidR="00F61F64">
      <w:rPr>
        <w:noProof/>
        <w:sz w:val="24"/>
      </w:rPr>
      <w:t>2</w:t>
    </w:r>
    <w:r w:rsidRPr="00A535CA">
      <w:rPr>
        <w:noProof/>
        <w:sz w:val="24"/>
      </w:rPr>
      <w:fldChar w:fldCharType="end"/>
    </w:r>
  </w:p>
  <w:p w:rsidR="00C00007" w:rsidRDefault="00F61F6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752"/>
    <w:rsid w:val="00044373"/>
    <w:rsid w:val="0007092C"/>
    <w:rsid w:val="001701DD"/>
    <w:rsid w:val="00302D3B"/>
    <w:rsid w:val="006F5EEC"/>
    <w:rsid w:val="00931446"/>
    <w:rsid w:val="00F61F64"/>
    <w:rsid w:val="00FF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25E8A6-A6EC-4249-9A75-30CDE98A6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67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Heading1">
    <w:name w:val="heading 1"/>
    <w:basedOn w:val="Normal"/>
    <w:next w:val="Normal"/>
    <w:link w:val="Heading1Char"/>
    <w:qFormat/>
    <w:rsid w:val="00FF6752"/>
    <w:pPr>
      <w:keepNext/>
      <w:outlineLvl w:val="0"/>
    </w:pPr>
    <w:rPr>
      <w:b/>
      <w:bCs/>
      <w:sz w:val="24"/>
      <w:szCs w:val="24"/>
      <w:lang w:val="hr-H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F6752"/>
    <w:rPr>
      <w:rFonts w:ascii="Times New Roman" w:eastAsia="Times New Roman" w:hAnsi="Times New Roman" w:cs="Times New Roman"/>
      <w:b/>
      <w:bCs/>
      <w:sz w:val="24"/>
      <w:szCs w:val="24"/>
      <w:lang w:val="hr-HR"/>
    </w:rPr>
  </w:style>
  <w:style w:type="paragraph" w:styleId="Header">
    <w:name w:val="header"/>
    <w:basedOn w:val="Normal"/>
    <w:link w:val="HeaderChar"/>
    <w:uiPriority w:val="99"/>
    <w:rsid w:val="00FF675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F6752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FootnoteText">
    <w:name w:val="footnote text"/>
    <w:basedOn w:val="Normal"/>
    <w:link w:val="FootnoteTextChar"/>
    <w:uiPriority w:val="99"/>
    <w:unhideWhenUsed/>
    <w:rsid w:val="00FF6752"/>
    <w:rPr>
      <w:lang w:val="x-none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F6752"/>
    <w:rPr>
      <w:rFonts w:ascii="Times New Roman" w:eastAsia="Times New Roman" w:hAnsi="Times New Roman" w:cs="Times New Roman"/>
      <w:sz w:val="20"/>
      <w:szCs w:val="20"/>
      <w:lang w:val="x-none"/>
    </w:rPr>
  </w:style>
  <w:style w:type="character" w:styleId="FootnoteReference">
    <w:name w:val="footnote reference"/>
    <w:uiPriority w:val="99"/>
    <w:unhideWhenUsed/>
    <w:rsid w:val="00FF6752"/>
    <w:rPr>
      <w:vertAlign w:val="superscript"/>
    </w:rPr>
  </w:style>
  <w:style w:type="paragraph" w:styleId="BodyTextIndent2">
    <w:name w:val="Body Text Indent 2"/>
    <w:basedOn w:val="Normal"/>
    <w:link w:val="BodyTextIndent2Char"/>
    <w:rsid w:val="00FF6752"/>
    <w:pPr>
      <w:spacing w:after="120" w:line="480" w:lineRule="auto"/>
      <w:ind w:left="283"/>
    </w:pPr>
    <w:rPr>
      <w:sz w:val="24"/>
      <w:szCs w:val="24"/>
      <w:lang w:val="en-US"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FF6752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1035</Words>
  <Characters>5903</Characters>
  <Application>Microsoft Office Word</Application>
  <DocSecurity>4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6925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Minela Pita</dc:creator>
  <cp:keywords/>
  <dc:description/>
  <cp:lastModifiedBy>Ivona Trboglav</cp:lastModifiedBy>
  <cp:revision>2</cp:revision>
  <dcterms:created xsi:type="dcterms:W3CDTF">2021-12-16T15:03:00Z</dcterms:created>
  <dcterms:modified xsi:type="dcterms:W3CDTF">2021-12-16T15:03:00Z</dcterms:modified>
</cp:coreProperties>
</file>